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6E04" w14:textId="77777777" w:rsidR="00E57642" w:rsidRPr="004B65AC" w:rsidRDefault="00E57642" w:rsidP="009C5B30">
      <w:pPr>
        <w:spacing w:after="60" w:line="260" w:lineRule="exact"/>
        <w:rPr>
          <w:rFonts w:ascii="Montserrat" w:hAnsi="Montserrat"/>
          <w:sz w:val="20"/>
          <w:szCs w:val="20"/>
          <w:lang w:val="en-GB"/>
        </w:rPr>
      </w:pPr>
    </w:p>
    <w:p w14:paraId="330555F1" w14:textId="77777777" w:rsidR="00E57642" w:rsidRPr="004B65AC" w:rsidRDefault="00E57642" w:rsidP="009C5B30">
      <w:pPr>
        <w:spacing w:after="60" w:line="260" w:lineRule="exact"/>
        <w:rPr>
          <w:rFonts w:ascii="Montserrat" w:hAnsi="Montserrat"/>
          <w:sz w:val="20"/>
          <w:szCs w:val="20"/>
          <w:lang w:val="en-GB"/>
        </w:rPr>
      </w:pPr>
    </w:p>
    <w:p w14:paraId="18244E9E" w14:textId="08927C31" w:rsidR="009C5B30" w:rsidRPr="004B65AC" w:rsidRDefault="00EC10D8" w:rsidP="009C5B30">
      <w:pPr>
        <w:spacing w:after="60" w:line="260" w:lineRule="exact"/>
        <w:rPr>
          <w:rFonts w:ascii="Montserrat" w:hAnsi="Montserrat"/>
          <w:sz w:val="20"/>
          <w:szCs w:val="20"/>
          <w:lang w:val="en-GB"/>
        </w:rPr>
      </w:pPr>
      <w:r>
        <w:rPr>
          <w:rFonts w:ascii="Montserrat" w:hAnsi="Montserrat"/>
          <w:sz w:val="20"/>
          <w:szCs w:val="20"/>
          <w:lang w:val="en-GB"/>
        </w:rPr>
        <w:t>30</w:t>
      </w:r>
      <w:r w:rsidR="00432723">
        <w:rPr>
          <w:rFonts w:ascii="Montserrat" w:hAnsi="Montserrat"/>
          <w:sz w:val="20"/>
          <w:szCs w:val="20"/>
          <w:lang w:val="en-GB"/>
        </w:rPr>
        <w:t xml:space="preserve"> January</w:t>
      </w:r>
      <w:r w:rsidR="009C5B30" w:rsidRPr="004B65AC">
        <w:rPr>
          <w:rFonts w:ascii="Montserrat" w:hAnsi="Montserrat"/>
          <w:sz w:val="20"/>
          <w:szCs w:val="20"/>
          <w:lang w:val="en-GB"/>
        </w:rPr>
        <w:t xml:space="preserve"> 202</w:t>
      </w:r>
      <w:r w:rsidR="00432723">
        <w:rPr>
          <w:rFonts w:ascii="Montserrat" w:hAnsi="Montserrat"/>
          <w:sz w:val="20"/>
          <w:szCs w:val="20"/>
          <w:lang w:val="en-GB"/>
        </w:rPr>
        <w:t>4</w:t>
      </w:r>
    </w:p>
    <w:p w14:paraId="43E8D24C" w14:textId="77777777" w:rsidR="009C5B30" w:rsidRDefault="009C5B30" w:rsidP="009C5B30">
      <w:pPr>
        <w:spacing w:after="60" w:line="260" w:lineRule="exact"/>
        <w:rPr>
          <w:rFonts w:ascii="Montserrat" w:hAnsi="Montserrat"/>
          <w:sz w:val="20"/>
          <w:szCs w:val="20"/>
          <w:lang w:val="en-GB"/>
        </w:rPr>
      </w:pPr>
    </w:p>
    <w:p w14:paraId="329DA90B" w14:textId="77777777" w:rsidR="000236D3" w:rsidRPr="004B65AC" w:rsidRDefault="000236D3" w:rsidP="009C5B30">
      <w:pPr>
        <w:spacing w:after="60" w:line="260" w:lineRule="exact"/>
        <w:rPr>
          <w:rFonts w:ascii="Montserrat" w:hAnsi="Montserrat"/>
          <w:sz w:val="20"/>
          <w:szCs w:val="20"/>
          <w:lang w:val="en-GB"/>
        </w:rPr>
      </w:pPr>
    </w:p>
    <w:p w14:paraId="50E2DEAA" w14:textId="77777777" w:rsidR="000C5F36" w:rsidRPr="000C5F36" w:rsidRDefault="000C5F36" w:rsidP="000C5F36">
      <w:pPr>
        <w:spacing w:after="60" w:line="260" w:lineRule="exact"/>
        <w:rPr>
          <w:rFonts w:ascii="Montserrat" w:hAnsi="Montserrat"/>
          <w:sz w:val="20"/>
          <w:szCs w:val="20"/>
          <w:lang w:val="en-GB"/>
        </w:rPr>
      </w:pPr>
      <w:r w:rsidRPr="000C5F36">
        <w:rPr>
          <w:rFonts w:ascii="Montserrat" w:hAnsi="Montserrat"/>
          <w:sz w:val="20"/>
          <w:szCs w:val="20"/>
          <w:lang w:val="en-GB"/>
        </w:rPr>
        <w:t>Submissions</w:t>
      </w:r>
    </w:p>
    <w:p w14:paraId="2A84F879" w14:textId="77777777" w:rsidR="000C5F36" w:rsidRPr="000C5F36" w:rsidRDefault="000C5F36" w:rsidP="000C5F36">
      <w:pPr>
        <w:spacing w:after="60" w:line="260" w:lineRule="exact"/>
        <w:rPr>
          <w:rFonts w:ascii="Montserrat" w:hAnsi="Montserrat"/>
          <w:sz w:val="20"/>
          <w:szCs w:val="20"/>
          <w:lang w:val="en-GB"/>
        </w:rPr>
      </w:pPr>
      <w:r w:rsidRPr="000C5F36">
        <w:rPr>
          <w:rFonts w:ascii="Montserrat" w:hAnsi="Montserrat"/>
          <w:sz w:val="20"/>
          <w:szCs w:val="20"/>
          <w:lang w:val="en-GB"/>
        </w:rPr>
        <w:t>Electricity Authority</w:t>
      </w:r>
    </w:p>
    <w:p w14:paraId="4A3D1632" w14:textId="77777777" w:rsidR="000C5F36" w:rsidRPr="000C5F36" w:rsidRDefault="000C5F36" w:rsidP="000C5F36">
      <w:pPr>
        <w:spacing w:after="60" w:line="260" w:lineRule="exact"/>
        <w:rPr>
          <w:rFonts w:ascii="Montserrat" w:hAnsi="Montserrat"/>
          <w:sz w:val="20"/>
          <w:szCs w:val="20"/>
          <w:lang w:val="en-GB"/>
        </w:rPr>
      </w:pPr>
      <w:r w:rsidRPr="000C5F36">
        <w:rPr>
          <w:rFonts w:ascii="Montserrat" w:hAnsi="Montserrat"/>
          <w:sz w:val="20"/>
          <w:szCs w:val="20"/>
          <w:lang w:val="en-GB"/>
        </w:rPr>
        <w:t>Level 7, AON Centre</w:t>
      </w:r>
    </w:p>
    <w:p w14:paraId="248946A5" w14:textId="77777777" w:rsidR="000C5F36" w:rsidRPr="000C5F36" w:rsidRDefault="000C5F36" w:rsidP="000C5F36">
      <w:pPr>
        <w:spacing w:after="60" w:line="260" w:lineRule="exact"/>
        <w:rPr>
          <w:rFonts w:ascii="Montserrat" w:hAnsi="Montserrat"/>
          <w:sz w:val="20"/>
          <w:szCs w:val="20"/>
          <w:lang w:val="en-GB"/>
        </w:rPr>
      </w:pPr>
      <w:r w:rsidRPr="000C5F36">
        <w:rPr>
          <w:rFonts w:ascii="Montserrat" w:hAnsi="Montserrat"/>
          <w:sz w:val="20"/>
          <w:szCs w:val="20"/>
          <w:lang w:val="en-GB"/>
        </w:rPr>
        <w:t>1 Willis Street</w:t>
      </w:r>
    </w:p>
    <w:p w14:paraId="4167F08C" w14:textId="77777777" w:rsidR="000C5F36" w:rsidRPr="000C5F36" w:rsidRDefault="000C5F36" w:rsidP="000C5F36">
      <w:pPr>
        <w:spacing w:after="60" w:line="260" w:lineRule="exact"/>
        <w:rPr>
          <w:rFonts w:ascii="Montserrat" w:hAnsi="Montserrat"/>
          <w:sz w:val="20"/>
          <w:szCs w:val="20"/>
          <w:lang w:val="en-GB"/>
        </w:rPr>
      </w:pPr>
      <w:r w:rsidRPr="000C5F36">
        <w:rPr>
          <w:rFonts w:ascii="Montserrat" w:hAnsi="Montserrat"/>
          <w:sz w:val="20"/>
          <w:szCs w:val="20"/>
          <w:lang w:val="en-GB"/>
        </w:rPr>
        <w:t>Wellington 6011</w:t>
      </w:r>
    </w:p>
    <w:p w14:paraId="4B840513" w14:textId="77777777" w:rsidR="000C5F36" w:rsidRPr="000C5F36" w:rsidRDefault="000C5F36" w:rsidP="000C5F36">
      <w:pPr>
        <w:spacing w:after="60" w:line="260" w:lineRule="exact"/>
        <w:rPr>
          <w:rFonts w:ascii="Montserrat" w:hAnsi="Montserrat"/>
          <w:sz w:val="20"/>
          <w:szCs w:val="20"/>
          <w:lang w:val="en-GB"/>
        </w:rPr>
      </w:pPr>
    </w:p>
    <w:p w14:paraId="5D162CF5" w14:textId="22C3780E" w:rsidR="009C5B30" w:rsidRDefault="000C5F36" w:rsidP="000C5F36">
      <w:pPr>
        <w:spacing w:after="60" w:line="260" w:lineRule="exact"/>
        <w:rPr>
          <w:rFonts w:ascii="Montserrat" w:hAnsi="Montserrat"/>
          <w:sz w:val="20"/>
          <w:szCs w:val="20"/>
          <w:lang w:val="en-GB"/>
        </w:rPr>
      </w:pPr>
      <w:r w:rsidRPr="000C5F36">
        <w:rPr>
          <w:rFonts w:ascii="Montserrat" w:hAnsi="Montserrat"/>
          <w:sz w:val="20"/>
          <w:szCs w:val="20"/>
          <w:lang w:val="en-GB"/>
        </w:rPr>
        <w:t>Via email: appropriations@ea.govt.nz</w:t>
      </w:r>
    </w:p>
    <w:p w14:paraId="4FF04EE6" w14:textId="77777777" w:rsidR="00A64B6F" w:rsidRPr="004B65AC" w:rsidRDefault="00A64B6F" w:rsidP="009C5B30">
      <w:pPr>
        <w:spacing w:after="60" w:line="260" w:lineRule="exact"/>
        <w:rPr>
          <w:rFonts w:ascii="Montserrat" w:hAnsi="Montserrat"/>
          <w:sz w:val="20"/>
          <w:szCs w:val="20"/>
          <w:lang w:val="en-GB"/>
        </w:rPr>
      </w:pPr>
    </w:p>
    <w:p w14:paraId="40A98797" w14:textId="38E4E41E" w:rsidR="00961B69" w:rsidRDefault="00135494" w:rsidP="007933E2">
      <w:pPr>
        <w:spacing w:after="60" w:line="260" w:lineRule="exact"/>
        <w:rPr>
          <w:rFonts w:ascii="Montserrat" w:hAnsi="Montserrat"/>
          <w:sz w:val="20"/>
          <w:szCs w:val="20"/>
          <w:lang w:val="en-GB"/>
        </w:rPr>
      </w:pPr>
      <w:r w:rsidRPr="00135494">
        <w:rPr>
          <w:rFonts w:ascii="Montserrat" w:hAnsi="Montserrat"/>
          <w:b/>
          <w:bCs/>
          <w:caps/>
          <w:color w:val="1F4F75" w:themeColor="accent6"/>
          <w:sz w:val="20"/>
          <w:szCs w:val="20"/>
          <w:lang w:val="en-GB"/>
        </w:rPr>
        <w:t>SUBMISSION ON THE PROPOSED LEVY-FUNDED APPROPRIATIONS 2024/25</w:t>
      </w:r>
    </w:p>
    <w:p w14:paraId="174740BE" w14:textId="77777777" w:rsidR="00135494" w:rsidRDefault="00135494" w:rsidP="007933E2">
      <w:pPr>
        <w:spacing w:after="60" w:line="260" w:lineRule="exact"/>
        <w:rPr>
          <w:rFonts w:ascii="Montserrat" w:hAnsi="Montserrat"/>
          <w:sz w:val="20"/>
          <w:szCs w:val="20"/>
          <w:lang w:val="en-GB"/>
        </w:rPr>
      </w:pPr>
    </w:p>
    <w:p w14:paraId="0BBFA438" w14:textId="77777777"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The Electricity Retailers’ Association of New Zealand (‘ERANZ’) welcomes the opportunity to provide feedback on the Electricity Authority’s consultation paper ‘Relieving pressure to deliver regulatory reform at pace: Proposed levy-funded appropriations 2024/25’ from December 2023.</w:t>
      </w:r>
    </w:p>
    <w:p w14:paraId="520BA9A5" w14:textId="77777777" w:rsidR="00A42449" w:rsidRPr="00A42449" w:rsidRDefault="00A42449" w:rsidP="00A42449">
      <w:pPr>
        <w:spacing w:after="60" w:line="260" w:lineRule="exact"/>
        <w:rPr>
          <w:rFonts w:ascii="Montserrat" w:hAnsi="Montserrat"/>
          <w:sz w:val="20"/>
          <w:szCs w:val="20"/>
          <w:lang w:val="en-GB"/>
        </w:rPr>
      </w:pPr>
    </w:p>
    <w:p w14:paraId="24780CB7" w14:textId="77777777"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ERANZ is the industry association representing companies that sell electricity to Kiwi households and businesses. Collectively our members supply almost 90 per cent of New Zealand’s electricity. We work for a competitive, fair, and sustainable electricity market that benefits consumers.</w:t>
      </w:r>
    </w:p>
    <w:p w14:paraId="2C8C7FEE" w14:textId="77777777" w:rsidR="00A42449" w:rsidRPr="000D47E9" w:rsidRDefault="00A42449" w:rsidP="00A42449">
      <w:pPr>
        <w:spacing w:after="60" w:line="260" w:lineRule="exact"/>
        <w:rPr>
          <w:rFonts w:ascii="Montserrat" w:hAnsi="Montserrat"/>
          <w:b/>
          <w:bCs/>
          <w:color w:val="1F4F75" w:themeColor="accent6"/>
          <w:sz w:val="20"/>
          <w:szCs w:val="20"/>
          <w:lang w:val="en-GB"/>
        </w:rPr>
      </w:pPr>
    </w:p>
    <w:p w14:paraId="36FD6E27" w14:textId="715F594F" w:rsidR="000D47E9" w:rsidRPr="000D47E9" w:rsidRDefault="000D47E9" w:rsidP="00A42449">
      <w:pPr>
        <w:spacing w:after="60" w:line="260" w:lineRule="exact"/>
        <w:rPr>
          <w:rFonts w:ascii="Montserrat" w:hAnsi="Montserrat"/>
          <w:b/>
          <w:bCs/>
          <w:color w:val="1F4F75" w:themeColor="accent6"/>
          <w:sz w:val="20"/>
          <w:szCs w:val="20"/>
          <w:lang w:val="en-GB"/>
        </w:rPr>
      </w:pPr>
      <w:r w:rsidRPr="000D47E9">
        <w:rPr>
          <w:rFonts w:ascii="Montserrat" w:hAnsi="Montserrat"/>
          <w:b/>
          <w:bCs/>
          <w:color w:val="1F4F75" w:themeColor="accent6"/>
          <w:sz w:val="20"/>
          <w:szCs w:val="20"/>
          <w:lang w:val="en-GB"/>
        </w:rPr>
        <w:t>Executive summary</w:t>
      </w:r>
    </w:p>
    <w:p w14:paraId="738DC306" w14:textId="77777777" w:rsidR="000D47E9" w:rsidRDefault="000D47E9" w:rsidP="00A42449">
      <w:pPr>
        <w:spacing w:after="60" w:line="260" w:lineRule="exact"/>
        <w:rPr>
          <w:rFonts w:ascii="Montserrat" w:hAnsi="Montserrat"/>
          <w:sz w:val="20"/>
          <w:szCs w:val="20"/>
          <w:lang w:val="en-GB"/>
        </w:rPr>
      </w:pPr>
    </w:p>
    <w:p w14:paraId="7D57E15B" w14:textId="77777777" w:rsidR="00F05092" w:rsidRDefault="000D47E9" w:rsidP="00A42449">
      <w:pPr>
        <w:spacing w:after="60" w:line="260" w:lineRule="exact"/>
        <w:rPr>
          <w:rFonts w:ascii="Montserrat" w:hAnsi="Montserrat"/>
          <w:sz w:val="20"/>
          <w:szCs w:val="20"/>
          <w:lang w:val="en-GB"/>
        </w:rPr>
      </w:pPr>
      <w:r>
        <w:rPr>
          <w:rFonts w:ascii="Montserrat" w:hAnsi="Montserrat"/>
          <w:sz w:val="20"/>
          <w:szCs w:val="20"/>
          <w:lang w:val="en-GB"/>
        </w:rPr>
        <w:t xml:space="preserve">ERANZ supports the </w:t>
      </w:r>
      <w:r w:rsidR="00AE58AF">
        <w:rPr>
          <w:rFonts w:ascii="Montserrat" w:hAnsi="Montserrat"/>
          <w:sz w:val="20"/>
          <w:szCs w:val="20"/>
          <w:lang w:val="en-GB"/>
        </w:rPr>
        <w:t xml:space="preserve">‘Option 2’ </w:t>
      </w:r>
      <w:r>
        <w:rPr>
          <w:rFonts w:ascii="Montserrat" w:hAnsi="Montserrat"/>
          <w:sz w:val="20"/>
          <w:szCs w:val="20"/>
          <w:lang w:val="en-GB"/>
        </w:rPr>
        <w:t>proposed levy increases</w:t>
      </w:r>
      <w:r w:rsidR="00AE58AF">
        <w:rPr>
          <w:rFonts w:ascii="Montserrat" w:hAnsi="Montserrat"/>
          <w:sz w:val="20"/>
          <w:szCs w:val="20"/>
          <w:lang w:val="en-GB"/>
        </w:rPr>
        <w:t>.</w:t>
      </w:r>
    </w:p>
    <w:p w14:paraId="0F46FC38" w14:textId="77777777" w:rsidR="00F05092" w:rsidRDefault="00F05092" w:rsidP="00A42449">
      <w:pPr>
        <w:spacing w:after="60" w:line="260" w:lineRule="exact"/>
        <w:rPr>
          <w:rFonts w:ascii="Montserrat" w:hAnsi="Montserrat"/>
          <w:sz w:val="20"/>
          <w:szCs w:val="20"/>
          <w:lang w:val="en-GB"/>
        </w:rPr>
      </w:pPr>
    </w:p>
    <w:p w14:paraId="60263CDD" w14:textId="2F6D4D9B" w:rsidR="000D47E9" w:rsidRDefault="00AE58AF" w:rsidP="00A42449">
      <w:pPr>
        <w:spacing w:after="60" w:line="260" w:lineRule="exact"/>
        <w:rPr>
          <w:rFonts w:ascii="Montserrat" w:hAnsi="Montserrat"/>
          <w:sz w:val="20"/>
          <w:szCs w:val="20"/>
          <w:lang w:val="en-GB"/>
        </w:rPr>
      </w:pPr>
      <w:r>
        <w:rPr>
          <w:rFonts w:ascii="Montserrat" w:hAnsi="Montserrat"/>
          <w:sz w:val="20"/>
          <w:szCs w:val="20"/>
          <w:lang w:val="en-GB"/>
        </w:rPr>
        <w:t>We feel this strikes the right balance between ensuring the Electricity Authority’s has the resources required for adequate regulatory oversight and development</w:t>
      </w:r>
      <w:r w:rsidR="00F02925">
        <w:rPr>
          <w:rFonts w:ascii="Montserrat" w:hAnsi="Montserrat"/>
          <w:sz w:val="20"/>
          <w:szCs w:val="20"/>
          <w:lang w:val="en-GB"/>
        </w:rPr>
        <w:t xml:space="preserve">, while recognising the </w:t>
      </w:r>
      <w:proofErr w:type="gramStart"/>
      <w:r w:rsidR="00F02925">
        <w:rPr>
          <w:rFonts w:ascii="Montserrat" w:hAnsi="Montserrat"/>
          <w:sz w:val="20"/>
          <w:szCs w:val="20"/>
          <w:lang w:val="en-GB"/>
        </w:rPr>
        <w:t>cost of living</w:t>
      </w:r>
      <w:proofErr w:type="gramEnd"/>
      <w:r w:rsidR="00F02925">
        <w:rPr>
          <w:rFonts w:ascii="Montserrat" w:hAnsi="Montserrat"/>
          <w:sz w:val="20"/>
          <w:szCs w:val="20"/>
          <w:lang w:val="en-GB"/>
        </w:rPr>
        <w:t xml:space="preserve"> pressures households and businesses are currently experiencing.</w:t>
      </w:r>
    </w:p>
    <w:p w14:paraId="0AF4CE27" w14:textId="77777777" w:rsidR="000D47E9" w:rsidRDefault="000D47E9" w:rsidP="00A42449">
      <w:pPr>
        <w:spacing w:after="60" w:line="260" w:lineRule="exact"/>
        <w:rPr>
          <w:rFonts w:ascii="Montserrat" w:hAnsi="Montserrat"/>
          <w:sz w:val="20"/>
          <w:szCs w:val="20"/>
          <w:lang w:val="en-GB"/>
        </w:rPr>
      </w:pPr>
    </w:p>
    <w:p w14:paraId="3C1FEDF9" w14:textId="476E8184" w:rsidR="000D47E9" w:rsidRPr="000D47E9" w:rsidRDefault="000D47E9" w:rsidP="00A42449">
      <w:pPr>
        <w:spacing w:after="60" w:line="260" w:lineRule="exact"/>
        <w:rPr>
          <w:rFonts w:ascii="Montserrat" w:hAnsi="Montserrat"/>
          <w:b/>
          <w:bCs/>
          <w:color w:val="1F4F75" w:themeColor="accent6"/>
          <w:sz w:val="20"/>
          <w:szCs w:val="20"/>
          <w:lang w:val="en-GB"/>
        </w:rPr>
      </w:pPr>
      <w:r w:rsidRPr="000D47E9">
        <w:rPr>
          <w:rFonts w:ascii="Montserrat" w:hAnsi="Montserrat"/>
          <w:b/>
          <w:bCs/>
          <w:color w:val="1F4F75" w:themeColor="accent6"/>
          <w:sz w:val="20"/>
          <w:szCs w:val="20"/>
          <w:lang w:val="en-GB"/>
        </w:rPr>
        <w:t>Submission</w:t>
      </w:r>
    </w:p>
    <w:p w14:paraId="07C89599" w14:textId="77777777" w:rsidR="000D47E9" w:rsidRPr="00A42449" w:rsidRDefault="000D47E9" w:rsidP="00A42449">
      <w:pPr>
        <w:spacing w:after="60" w:line="260" w:lineRule="exact"/>
        <w:rPr>
          <w:rFonts w:ascii="Montserrat" w:hAnsi="Montserrat"/>
          <w:sz w:val="20"/>
          <w:szCs w:val="20"/>
          <w:lang w:val="en-GB"/>
        </w:rPr>
      </w:pPr>
    </w:p>
    <w:p w14:paraId="251490D3" w14:textId="072CFE68"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ERANZ supports the Electricity Authority’s (</w:t>
      </w:r>
      <w:r w:rsidR="007A2E17">
        <w:rPr>
          <w:rFonts w:ascii="Montserrat" w:hAnsi="Montserrat"/>
          <w:sz w:val="20"/>
          <w:szCs w:val="20"/>
          <w:lang w:val="en-GB"/>
        </w:rPr>
        <w:t xml:space="preserve">‘the </w:t>
      </w:r>
      <w:r w:rsidRPr="00A42449">
        <w:rPr>
          <w:rFonts w:ascii="Montserrat" w:hAnsi="Montserrat"/>
          <w:sz w:val="20"/>
          <w:szCs w:val="20"/>
          <w:lang w:val="en-GB"/>
        </w:rPr>
        <w:t>Authority</w:t>
      </w:r>
      <w:r w:rsidR="007A2E17">
        <w:rPr>
          <w:rFonts w:ascii="Montserrat" w:hAnsi="Montserrat"/>
          <w:sz w:val="20"/>
          <w:szCs w:val="20"/>
          <w:lang w:val="en-GB"/>
        </w:rPr>
        <w:t>’</w:t>
      </w:r>
      <w:r w:rsidRPr="00A42449">
        <w:rPr>
          <w:rFonts w:ascii="Montserrat" w:hAnsi="Montserrat"/>
          <w:sz w:val="20"/>
          <w:szCs w:val="20"/>
          <w:lang w:val="en-GB"/>
        </w:rPr>
        <w:t xml:space="preserve">) stated vision and its intended outcomes, to achieve a sustainable, accessible, </w:t>
      </w:r>
      <w:proofErr w:type="gramStart"/>
      <w:r w:rsidRPr="00A42449">
        <w:rPr>
          <w:rFonts w:ascii="Montserrat" w:hAnsi="Montserrat"/>
          <w:sz w:val="20"/>
          <w:szCs w:val="20"/>
          <w:lang w:val="en-GB"/>
        </w:rPr>
        <w:t>secure</w:t>
      </w:r>
      <w:proofErr w:type="gramEnd"/>
      <w:r w:rsidRPr="00A42449">
        <w:rPr>
          <w:rFonts w:ascii="Montserrat" w:hAnsi="Montserrat"/>
          <w:sz w:val="20"/>
          <w:szCs w:val="20"/>
          <w:lang w:val="en-GB"/>
        </w:rPr>
        <w:t xml:space="preserve"> and resilient electricity system. This aligns with the three core priorities that underline our activities: advocating for an efficient energy market; supporting the most vulnerable in our society to have fair access to energy; and championing electricity as the key solution to New Zealand's zero emissions future. </w:t>
      </w:r>
    </w:p>
    <w:p w14:paraId="2104AD72" w14:textId="77777777" w:rsidR="00A42449" w:rsidRPr="00A42449" w:rsidRDefault="00A42449" w:rsidP="00A42449">
      <w:pPr>
        <w:spacing w:after="60" w:line="260" w:lineRule="exact"/>
        <w:rPr>
          <w:rFonts w:ascii="Montserrat" w:hAnsi="Montserrat"/>
          <w:sz w:val="20"/>
          <w:szCs w:val="20"/>
          <w:lang w:val="en-GB"/>
        </w:rPr>
      </w:pPr>
    </w:p>
    <w:p w14:paraId="7FB44E63" w14:textId="77777777" w:rsidR="004C6A90"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 xml:space="preserve">We agree with the Authority that </w:t>
      </w:r>
      <w:r w:rsidR="00111B82">
        <w:rPr>
          <w:rFonts w:ascii="Montserrat" w:hAnsi="Montserrat"/>
          <w:sz w:val="20"/>
          <w:szCs w:val="20"/>
          <w:lang w:val="en-GB"/>
        </w:rPr>
        <w:t>New Zealand’s</w:t>
      </w:r>
      <w:r w:rsidRPr="00A42449">
        <w:rPr>
          <w:rFonts w:ascii="Montserrat" w:hAnsi="Montserrat"/>
          <w:sz w:val="20"/>
          <w:szCs w:val="20"/>
          <w:lang w:val="en-GB"/>
        </w:rPr>
        <w:t xml:space="preserve"> electricity market has historically served consumers well. Previous market reform has created a robust and dynamic electricity market that encourages innovation and competition</w:t>
      </w:r>
      <w:r w:rsidR="00111B82">
        <w:rPr>
          <w:rFonts w:ascii="Montserrat" w:hAnsi="Montserrat"/>
          <w:sz w:val="20"/>
          <w:szCs w:val="20"/>
          <w:lang w:val="en-GB"/>
        </w:rPr>
        <w:t xml:space="preserve"> which ultimately provides consumers with more choice</w:t>
      </w:r>
      <w:r w:rsidRPr="00A42449">
        <w:rPr>
          <w:rFonts w:ascii="Montserrat" w:hAnsi="Montserrat"/>
          <w:sz w:val="20"/>
          <w:szCs w:val="20"/>
          <w:lang w:val="en-GB"/>
        </w:rPr>
        <w:t>.</w:t>
      </w:r>
    </w:p>
    <w:p w14:paraId="27553F3D" w14:textId="77777777" w:rsidR="004C6A90" w:rsidRDefault="004C6A90" w:rsidP="00A42449">
      <w:pPr>
        <w:spacing w:after="60" w:line="260" w:lineRule="exact"/>
        <w:rPr>
          <w:rFonts w:ascii="Montserrat" w:hAnsi="Montserrat"/>
          <w:sz w:val="20"/>
          <w:szCs w:val="20"/>
          <w:lang w:val="en-GB"/>
        </w:rPr>
      </w:pPr>
    </w:p>
    <w:p w14:paraId="4B7EAA22" w14:textId="433019A9"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As a result, electricity prices have remained</w:t>
      </w:r>
      <w:r w:rsidR="007A3CBC">
        <w:rPr>
          <w:rFonts w:ascii="Montserrat" w:hAnsi="Montserrat"/>
          <w:sz w:val="20"/>
          <w:szCs w:val="20"/>
          <w:lang w:val="en-GB"/>
        </w:rPr>
        <w:t xml:space="preserve"> relatively</w:t>
      </w:r>
      <w:r w:rsidRPr="00A42449">
        <w:rPr>
          <w:rFonts w:ascii="Montserrat" w:hAnsi="Montserrat"/>
          <w:sz w:val="20"/>
          <w:szCs w:val="20"/>
          <w:lang w:val="en-GB"/>
        </w:rPr>
        <w:t xml:space="preserve"> stable during volatile periods over the last five years which has in turn provided certainty for households and businesses. This has helped </w:t>
      </w:r>
      <w:r w:rsidRPr="00A42449">
        <w:rPr>
          <w:rFonts w:ascii="Montserrat" w:hAnsi="Montserrat"/>
          <w:sz w:val="20"/>
          <w:szCs w:val="20"/>
          <w:lang w:val="en-GB"/>
        </w:rPr>
        <w:lastRenderedPageBreak/>
        <w:t xml:space="preserve">consumers navigate the cost-of-living crisis that followed Covid-19, and </w:t>
      </w:r>
      <w:r w:rsidR="006810B9">
        <w:rPr>
          <w:rFonts w:ascii="Montserrat" w:hAnsi="Montserrat"/>
          <w:sz w:val="20"/>
          <w:szCs w:val="20"/>
          <w:lang w:val="en-GB"/>
        </w:rPr>
        <w:t xml:space="preserve">the </w:t>
      </w:r>
      <w:r w:rsidRPr="00A42449">
        <w:rPr>
          <w:rFonts w:ascii="Montserrat" w:hAnsi="Montserrat"/>
          <w:sz w:val="20"/>
          <w:szCs w:val="20"/>
          <w:lang w:val="en-GB"/>
        </w:rPr>
        <w:t>ongoing inflationary pressures we face as a country today.</w:t>
      </w:r>
    </w:p>
    <w:p w14:paraId="5551AB46" w14:textId="77777777" w:rsidR="00A42449" w:rsidRPr="00A42449" w:rsidRDefault="00A42449" w:rsidP="00A42449">
      <w:pPr>
        <w:spacing w:after="60" w:line="260" w:lineRule="exact"/>
        <w:rPr>
          <w:rFonts w:ascii="Montserrat" w:hAnsi="Montserrat"/>
          <w:sz w:val="20"/>
          <w:szCs w:val="20"/>
          <w:lang w:val="en-GB"/>
        </w:rPr>
      </w:pPr>
    </w:p>
    <w:p w14:paraId="39247CDD" w14:textId="0DCAD2CE"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As New Zealand strives to achieve its ambiti</w:t>
      </w:r>
      <w:r w:rsidR="006810B9">
        <w:rPr>
          <w:rFonts w:ascii="Montserrat" w:hAnsi="Montserrat"/>
          <w:sz w:val="20"/>
          <w:szCs w:val="20"/>
          <w:lang w:val="en-GB"/>
        </w:rPr>
        <w:t>ou</w:t>
      </w:r>
      <w:r w:rsidRPr="00A42449">
        <w:rPr>
          <w:rFonts w:ascii="Montserrat" w:hAnsi="Montserrat"/>
          <w:sz w:val="20"/>
          <w:szCs w:val="20"/>
          <w:lang w:val="en-GB"/>
        </w:rPr>
        <w:t xml:space="preserve">s decarbonisation goals, the electricity system is undergoing transformation at an unprecedented scale. Previous relatively stable demand for electricity is expected to grow as New Zealanders shift to an electrified future. </w:t>
      </w:r>
    </w:p>
    <w:p w14:paraId="47D6FB5B" w14:textId="77777777" w:rsidR="00A42449" w:rsidRPr="00A42449" w:rsidRDefault="00A42449" w:rsidP="00A42449">
      <w:pPr>
        <w:spacing w:after="60" w:line="260" w:lineRule="exact"/>
        <w:rPr>
          <w:rFonts w:ascii="Montserrat" w:hAnsi="Montserrat"/>
          <w:sz w:val="20"/>
          <w:szCs w:val="20"/>
          <w:lang w:val="en-GB"/>
        </w:rPr>
      </w:pPr>
    </w:p>
    <w:p w14:paraId="1D75C06E" w14:textId="77777777"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 xml:space="preserve">New Zealand’s strong foundation of renewable energy means we are well placed to transition to an electrified and lower emissions economy. However, investment in the necessary infrastructure to support a more complex electricity system, that can adequately respond to consumers’ needs, will bring many challenges. ERANZ and its members believe that the key to a successful transition to electrification lies in careful management of the associated costs. Ensuring affordability during the transition period and addressing any potential challenges will be crucial. </w:t>
      </w:r>
    </w:p>
    <w:p w14:paraId="496404CA" w14:textId="77777777" w:rsidR="00A42449" w:rsidRPr="00A42449" w:rsidRDefault="00A42449" w:rsidP="00A42449">
      <w:pPr>
        <w:spacing w:after="60" w:line="260" w:lineRule="exact"/>
        <w:rPr>
          <w:rFonts w:ascii="Montserrat" w:hAnsi="Montserrat"/>
          <w:sz w:val="20"/>
          <w:szCs w:val="20"/>
          <w:lang w:val="en-GB"/>
        </w:rPr>
      </w:pPr>
    </w:p>
    <w:p w14:paraId="1D18A881" w14:textId="3CCEE500"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 xml:space="preserve">ERANZ acknowledges that decarbonising our electricity system will require </w:t>
      </w:r>
      <w:r w:rsidR="00DE239F">
        <w:rPr>
          <w:rFonts w:ascii="Montserrat" w:hAnsi="Montserrat"/>
          <w:sz w:val="20"/>
          <w:szCs w:val="20"/>
          <w:lang w:val="en-GB"/>
        </w:rPr>
        <w:t>an investment in</w:t>
      </w:r>
      <w:r w:rsidRPr="00A42449">
        <w:rPr>
          <w:rFonts w:ascii="Montserrat" w:hAnsi="Montserrat"/>
          <w:sz w:val="20"/>
          <w:szCs w:val="20"/>
          <w:lang w:val="en-GB"/>
        </w:rPr>
        <w:t xml:space="preserve"> regulatory oversight. </w:t>
      </w:r>
      <w:r w:rsidR="00100957">
        <w:rPr>
          <w:rFonts w:ascii="Montserrat" w:hAnsi="Montserrat"/>
          <w:sz w:val="20"/>
          <w:szCs w:val="20"/>
          <w:lang w:val="en-GB"/>
        </w:rPr>
        <w:t>Ultimately, it is consumers who</w:t>
      </w:r>
      <w:r w:rsidRPr="00A42449">
        <w:rPr>
          <w:rFonts w:ascii="Montserrat" w:hAnsi="Montserrat"/>
          <w:sz w:val="20"/>
          <w:szCs w:val="20"/>
          <w:lang w:val="en-GB"/>
        </w:rPr>
        <w:t xml:space="preserve"> benefit from an orderly, well </w:t>
      </w:r>
      <w:r w:rsidR="00100957" w:rsidRPr="00A42449">
        <w:rPr>
          <w:rFonts w:ascii="Montserrat" w:hAnsi="Montserrat"/>
          <w:sz w:val="20"/>
          <w:szCs w:val="20"/>
          <w:lang w:val="en-GB"/>
        </w:rPr>
        <w:t>monitored,</w:t>
      </w:r>
      <w:r w:rsidRPr="00A42449">
        <w:rPr>
          <w:rFonts w:ascii="Montserrat" w:hAnsi="Montserrat"/>
          <w:sz w:val="20"/>
          <w:szCs w:val="20"/>
          <w:lang w:val="en-GB"/>
        </w:rPr>
        <w:t xml:space="preserve"> and regulated transition to a net</w:t>
      </w:r>
      <w:r w:rsidR="00100957">
        <w:rPr>
          <w:rFonts w:ascii="Montserrat" w:hAnsi="Montserrat"/>
          <w:sz w:val="20"/>
          <w:szCs w:val="20"/>
          <w:lang w:val="en-GB"/>
        </w:rPr>
        <w:t>-</w:t>
      </w:r>
      <w:r w:rsidRPr="00A42449">
        <w:rPr>
          <w:rFonts w:ascii="Montserrat" w:hAnsi="Montserrat"/>
          <w:sz w:val="20"/>
          <w:szCs w:val="20"/>
          <w:lang w:val="en-GB"/>
        </w:rPr>
        <w:t xml:space="preserve">zero carbon future. </w:t>
      </w:r>
    </w:p>
    <w:p w14:paraId="56051EA6" w14:textId="77777777" w:rsidR="00A42449" w:rsidRPr="00A42449" w:rsidRDefault="00A42449" w:rsidP="00A42449">
      <w:pPr>
        <w:spacing w:after="60" w:line="260" w:lineRule="exact"/>
        <w:rPr>
          <w:rFonts w:ascii="Montserrat" w:hAnsi="Montserrat"/>
          <w:sz w:val="20"/>
          <w:szCs w:val="20"/>
          <w:lang w:val="en-GB"/>
        </w:rPr>
      </w:pPr>
    </w:p>
    <w:p w14:paraId="1D75B294" w14:textId="77777777"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 xml:space="preserve">We support the Authority’s stated focus as the regulator to “ensure the transition is as efficient and resilient as possible, while maintaining energy security, system adaptability and access to affordable electricity for all consumers.” </w:t>
      </w:r>
    </w:p>
    <w:p w14:paraId="47509D4D" w14:textId="77777777" w:rsidR="00A42449" w:rsidRPr="00A42449" w:rsidRDefault="00A42449" w:rsidP="00A42449">
      <w:pPr>
        <w:spacing w:after="60" w:line="260" w:lineRule="exact"/>
        <w:rPr>
          <w:rFonts w:ascii="Montserrat" w:hAnsi="Montserrat"/>
          <w:sz w:val="20"/>
          <w:szCs w:val="20"/>
          <w:lang w:val="en-GB"/>
        </w:rPr>
      </w:pPr>
    </w:p>
    <w:p w14:paraId="7AAF5C06" w14:textId="3DFC92D2"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 xml:space="preserve">ERANZ supports the Authority’s proposed levy-funded appropriation increase of ‘Option 2 – relieving pressures’, and notes the prudent approach applied given the current fiscal environment and </w:t>
      </w:r>
      <w:r w:rsidR="00210D69">
        <w:rPr>
          <w:rFonts w:ascii="Montserrat" w:hAnsi="Montserrat"/>
          <w:sz w:val="20"/>
          <w:szCs w:val="20"/>
          <w:lang w:val="en-GB"/>
        </w:rPr>
        <w:t xml:space="preserve">financial </w:t>
      </w:r>
      <w:r w:rsidRPr="00A42449">
        <w:rPr>
          <w:rFonts w:ascii="Montserrat" w:hAnsi="Montserrat"/>
          <w:sz w:val="20"/>
          <w:szCs w:val="20"/>
          <w:lang w:val="en-GB"/>
        </w:rPr>
        <w:t>pressures being faced by households and businesses alike.</w:t>
      </w:r>
    </w:p>
    <w:p w14:paraId="346A5634" w14:textId="77777777" w:rsidR="00A42449" w:rsidRPr="00A42449" w:rsidRDefault="00A42449" w:rsidP="00A42449">
      <w:pPr>
        <w:spacing w:after="60" w:line="260" w:lineRule="exact"/>
        <w:rPr>
          <w:rFonts w:ascii="Montserrat" w:hAnsi="Montserrat"/>
          <w:sz w:val="20"/>
          <w:szCs w:val="20"/>
          <w:lang w:val="en-GB"/>
        </w:rPr>
      </w:pPr>
    </w:p>
    <w:p w14:paraId="6E79E4AD" w14:textId="785F24EE"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We note that consumers are ultimately the payers of all the Authority’s expenses</w:t>
      </w:r>
      <w:r w:rsidR="00210D69">
        <w:rPr>
          <w:rFonts w:ascii="Montserrat" w:hAnsi="Montserrat"/>
          <w:sz w:val="20"/>
          <w:szCs w:val="20"/>
          <w:lang w:val="en-GB"/>
        </w:rPr>
        <w:t xml:space="preserve"> and that </w:t>
      </w:r>
      <w:r w:rsidRPr="00A42449">
        <w:rPr>
          <w:rFonts w:ascii="Montserrat" w:hAnsi="Montserrat"/>
          <w:sz w:val="20"/>
          <w:szCs w:val="20"/>
          <w:lang w:val="en-GB"/>
        </w:rPr>
        <w:t>the inflationary pressures being felt by the Authority</w:t>
      </w:r>
      <w:r w:rsidR="00210D69">
        <w:rPr>
          <w:rFonts w:ascii="Montserrat" w:hAnsi="Montserrat"/>
          <w:sz w:val="20"/>
          <w:szCs w:val="20"/>
          <w:lang w:val="en-GB"/>
        </w:rPr>
        <w:t xml:space="preserve"> are</w:t>
      </w:r>
      <w:r w:rsidRPr="00A42449">
        <w:rPr>
          <w:rFonts w:ascii="Montserrat" w:hAnsi="Montserrat"/>
          <w:sz w:val="20"/>
          <w:szCs w:val="20"/>
          <w:lang w:val="en-GB"/>
        </w:rPr>
        <w:t xml:space="preserve"> felt by all New Zealand</w:t>
      </w:r>
      <w:r w:rsidR="00210D69">
        <w:rPr>
          <w:rFonts w:ascii="Montserrat" w:hAnsi="Montserrat"/>
          <w:sz w:val="20"/>
          <w:szCs w:val="20"/>
          <w:lang w:val="en-GB"/>
        </w:rPr>
        <w:t>ers. I</w:t>
      </w:r>
      <w:r w:rsidRPr="00A42449">
        <w:rPr>
          <w:rFonts w:ascii="Montserrat" w:hAnsi="Montserrat"/>
          <w:sz w:val="20"/>
          <w:szCs w:val="20"/>
          <w:lang w:val="en-GB"/>
        </w:rPr>
        <w:t>t is imperative</w:t>
      </w:r>
      <w:r w:rsidR="00ED5F5D">
        <w:rPr>
          <w:rFonts w:ascii="Montserrat" w:hAnsi="Montserrat"/>
          <w:sz w:val="20"/>
          <w:szCs w:val="20"/>
          <w:lang w:val="en-GB"/>
        </w:rPr>
        <w:t xml:space="preserve">, therefore, to justify </w:t>
      </w:r>
      <w:r w:rsidRPr="00A42449">
        <w:rPr>
          <w:rFonts w:ascii="Montserrat" w:hAnsi="Montserrat"/>
          <w:sz w:val="20"/>
          <w:szCs w:val="20"/>
          <w:lang w:val="en-GB"/>
        </w:rPr>
        <w:t xml:space="preserve">any </w:t>
      </w:r>
      <w:r w:rsidR="00ED5F5D">
        <w:rPr>
          <w:rFonts w:ascii="Montserrat" w:hAnsi="Montserrat"/>
          <w:sz w:val="20"/>
          <w:szCs w:val="20"/>
          <w:lang w:val="en-GB"/>
        </w:rPr>
        <w:t>levy increases</w:t>
      </w:r>
      <w:r w:rsidRPr="00A42449">
        <w:rPr>
          <w:rFonts w:ascii="Montserrat" w:hAnsi="Montserrat"/>
          <w:sz w:val="20"/>
          <w:szCs w:val="20"/>
          <w:lang w:val="en-GB"/>
        </w:rPr>
        <w:t>. The completion of an independent baseline review by the Ministry of Business, Innovation and Employment (</w:t>
      </w:r>
      <w:r w:rsidR="00BE4785">
        <w:rPr>
          <w:rFonts w:ascii="Montserrat" w:hAnsi="Montserrat"/>
          <w:sz w:val="20"/>
          <w:szCs w:val="20"/>
          <w:lang w:val="en-GB"/>
        </w:rPr>
        <w:t>‘</w:t>
      </w:r>
      <w:r w:rsidRPr="00A42449">
        <w:rPr>
          <w:rFonts w:ascii="Montserrat" w:hAnsi="Montserrat"/>
          <w:sz w:val="20"/>
          <w:szCs w:val="20"/>
          <w:lang w:val="en-GB"/>
        </w:rPr>
        <w:t>MBIE</w:t>
      </w:r>
      <w:r w:rsidR="00BE4785">
        <w:rPr>
          <w:rFonts w:ascii="Montserrat" w:hAnsi="Montserrat"/>
          <w:sz w:val="20"/>
          <w:szCs w:val="20"/>
          <w:lang w:val="en-GB"/>
        </w:rPr>
        <w:t>’</w:t>
      </w:r>
      <w:r w:rsidRPr="00A42449">
        <w:rPr>
          <w:rFonts w:ascii="Montserrat" w:hAnsi="Montserrat"/>
          <w:sz w:val="20"/>
          <w:szCs w:val="20"/>
          <w:lang w:val="en-GB"/>
        </w:rPr>
        <w:t xml:space="preserve">), and the Authority’s subsequent work to assess potential funding options, helps to provide assurances that ‘Option 2’ will adequately support the Authority’s high priority work programme that both the industry and country needs to achieve the energy transition to a highly renewable electricity system.  </w:t>
      </w:r>
    </w:p>
    <w:p w14:paraId="5546AE3E" w14:textId="77777777" w:rsidR="00A42449" w:rsidRPr="00A42449" w:rsidRDefault="00A42449" w:rsidP="00A42449">
      <w:pPr>
        <w:spacing w:after="60" w:line="260" w:lineRule="exact"/>
        <w:rPr>
          <w:rFonts w:ascii="Montserrat" w:hAnsi="Montserrat"/>
          <w:sz w:val="20"/>
          <w:szCs w:val="20"/>
          <w:lang w:val="en-GB"/>
        </w:rPr>
      </w:pPr>
    </w:p>
    <w:p w14:paraId="139761DC" w14:textId="77777777"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 xml:space="preserve">ERANZ supports the proposed appropriations for the Authority. The breakdown of proposed increases to its electricity industry governance, market operations is clear, and the proposed expenditure on managing the security of New Zealand’s electricity supply, and the litigation fund is fair and reflects previous appropriations. </w:t>
      </w:r>
    </w:p>
    <w:p w14:paraId="3191E687" w14:textId="77777777" w:rsidR="00A42449" w:rsidRPr="00A42449" w:rsidRDefault="00A42449" w:rsidP="00A42449">
      <w:pPr>
        <w:spacing w:after="60" w:line="260" w:lineRule="exact"/>
        <w:rPr>
          <w:rFonts w:ascii="Montserrat" w:hAnsi="Montserrat"/>
          <w:sz w:val="20"/>
          <w:szCs w:val="20"/>
          <w:lang w:val="en-GB"/>
        </w:rPr>
      </w:pPr>
    </w:p>
    <w:p w14:paraId="454585F6" w14:textId="77777777" w:rsidR="00A42449" w:rsidRPr="00E54144" w:rsidRDefault="00A42449" w:rsidP="00A42449">
      <w:pPr>
        <w:spacing w:after="60" w:line="260" w:lineRule="exact"/>
        <w:rPr>
          <w:rFonts w:ascii="Montserrat" w:hAnsi="Montserrat"/>
          <w:b/>
          <w:bCs/>
          <w:color w:val="1F4F75" w:themeColor="accent6"/>
          <w:sz w:val="20"/>
          <w:szCs w:val="20"/>
          <w:lang w:val="en-GB"/>
        </w:rPr>
      </w:pPr>
      <w:r w:rsidRPr="00E54144">
        <w:rPr>
          <w:rFonts w:ascii="Montserrat" w:hAnsi="Montserrat"/>
          <w:b/>
          <w:bCs/>
          <w:color w:val="1F4F75" w:themeColor="accent6"/>
          <w:sz w:val="20"/>
          <w:szCs w:val="20"/>
          <w:lang w:val="en-GB"/>
        </w:rPr>
        <w:t>Consultation questions</w:t>
      </w:r>
    </w:p>
    <w:p w14:paraId="1730FBB2" w14:textId="77777777" w:rsidR="00A42449" w:rsidRPr="00A42449" w:rsidRDefault="00A42449" w:rsidP="00A42449">
      <w:pPr>
        <w:spacing w:after="60" w:line="260" w:lineRule="exact"/>
        <w:rPr>
          <w:rFonts w:ascii="Montserrat" w:hAnsi="Montserrat"/>
          <w:sz w:val="20"/>
          <w:szCs w:val="20"/>
          <w:lang w:val="en-GB"/>
        </w:rPr>
      </w:pPr>
    </w:p>
    <w:p w14:paraId="4D34A086" w14:textId="77777777" w:rsidR="00A42449" w:rsidRPr="00E54144" w:rsidRDefault="00A42449" w:rsidP="00A42449">
      <w:pPr>
        <w:spacing w:after="60" w:line="260" w:lineRule="exact"/>
        <w:rPr>
          <w:rFonts w:ascii="Montserrat" w:hAnsi="Montserrat"/>
          <w:i/>
          <w:iCs/>
          <w:sz w:val="20"/>
          <w:szCs w:val="20"/>
          <w:lang w:val="en-GB"/>
        </w:rPr>
      </w:pPr>
      <w:r w:rsidRPr="00E54144">
        <w:rPr>
          <w:rFonts w:ascii="Montserrat" w:hAnsi="Montserrat"/>
          <w:i/>
          <w:iCs/>
          <w:sz w:val="20"/>
          <w:szCs w:val="20"/>
          <w:lang w:val="en-GB"/>
        </w:rPr>
        <w:t>Do you support the Authority’s proposal for a permanent baseline increase to its Electricity Industry Governance and Market Operations appropriation of $14.2 million for 2024/25, bringing the total appropriation to $115.0 million?</w:t>
      </w:r>
    </w:p>
    <w:p w14:paraId="76FF0BBE" w14:textId="77777777" w:rsidR="00A42449" w:rsidRPr="00A42449" w:rsidRDefault="00A42449" w:rsidP="00A42449">
      <w:pPr>
        <w:spacing w:after="60" w:line="260" w:lineRule="exact"/>
        <w:rPr>
          <w:rFonts w:ascii="Montserrat" w:hAnsi="Montserrat"/>
          <w:sz w:val="20"/>
          <w:szCs w:val="20"/>
          <w:lang w:val="en-GB"/>
        </w:rPr>
      </w:pPr>
    </w:p>
    <w:p w14:paraId="31727AC6" w14:textId="1CB6DA13"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 xml:space="preserve">Yes. We agree that ‘Option 2 – relieving pressures’ is the prudent approach given current </w:t>
      </w:r>
      <w:r w:rsidR="001A5012">
        <w:rPr>
          <w:rFonts w:ascii="Montserrat" w:hAnsi="Montserrat"/>
          <w:sz w:val="20"/>
          <w:szCs w:val="20"/>
          <w:lang w:val="en-GB"/>
        </w:rPr>
        <w:t>financial</w:t>
      </w:r>
      <w:r w:rsidRPr="00A42449">
        <w:rPr>
          <w:rFonts w:ascii="Montserrat" w:hAnsi="Montserrat"/>
          <w:sz w:val="20"/>
          <w:szCs w:val="20"/>
          <w:lang w:val="en-GB"/>
        </w:rPr>
        <w:t xml:space="preserve"> pressures on consumers and businesses. As outlined by the Authority, we agree that this option will allow it to both meet increased service provider costs and be better placed to make good progress towards mitigating risks to consumers and realising the full benefits of enabling new </w:t>
      </w:r>
      <w:r w:rsidRPr="00A42449">
        <w:rPr>
          <w:rFonts w:ascii="Montserrat" w:hAnsi="Montserrat"/>
          <w:sz w:val="20"/>
          <w:szCs w:val="20"/>
          <w:lang w:val="en-GB"/>
        </w:rPr>
        <w:lastRenderedPageBreak/>
        <w:t xml:space="preserve">technologies and changes to market operations. </w:t>
      </w:r>
    </w:p>
    <w:p w14:paraId="0FDCD66C" w14:textId="77777777" w:rsidR="00A42449" w:rsidRPr="00A42449" w:rsidRDefault="00A42449" w:rsidP="00A42449">
      <w:pPr>
        <w:spacing w:after="60" w:line="260" w:lineRule="exact"/>
        <w:rPr>
          <w:rFonts w:ascii="Montserrat" w:hAnsi="Montserrat"/>
          <w:sz w:val="20"/>
          <w:szCs w:val="20"/>
          <w:lang w:val="en-GB"/>
        </w:rPr>
      </w:pPr>
    </w:p>
    <w:p w14:paraId="261AB491" w14:textId="77777777" w:rsidR="00A42449" w:rsidRPr="001A5012" w:rsidRDefault="00A42449" w:rsidP="00A42449">
      <w:pPr>
        <w:spacing w:after="60" w:line="260" w:lineRule="exact"/>
        <w:rPr>
          <w:rFonts w:ascii="Montserrat" w:hAnsi="Montserrat"/>
          <w:i/>
          <w:iCs/>
          <w:sz w:val="20"/>
          <w:szCs w:val="20"/>
          <w:lang w:val="en-GB"/>
        </w:rPr>
      </w:pPr>
      <w:r w:rsidRPr="001A5012">
        <w:rPr>
          <w:rFonts w:ascii="Montserrat" w:hAnsi="Montserrat"/>
          <w:i/>
          <w:iCs/>
          <w:sz w:val="20"/>
          <w:szCs w:val="20"/>
          <w:lang w:val="en-GB"/>
        </w:rPr>
        <w:t>Do you support the Authority’s proposal for maintaining the contingent appropriation for Managing the Security of New Zealand’s Electricity Supply at its current level of $6.0 million over five years?</w:t>
      </w:r>
    </w:p>
    <w:p w14:paraId="698DF584" w14:textId="77777777" w:rsidR="00A42449" w:rsidRPr="00A42449" w:rsidRDefault="00A42449" w:rsidP="00A42449">
      <w:pPr>
        <w:spacing w:after="60" w:line="260" w:lineRule="exact"/>
        <w:rPr>
          <w:rFonts w:ascii="Montserrat" w:hAnsi="Montserrat"/>
          <w:sz w:val="20"/>
          <w:szCs w:val="20"/>
          <w:lang w:val="en-GB"/>
        </w:rPr>
      </w:pPr>
    </w:p>
    <w:p w14:paraId="0610B6CD" w14:textId="77777777"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Yes.</w:t>
      </w:r>
    </w:p>
    <w:p w14:paraId="4A4194E3" w14:textId="77777777" w:rsidR="00A42449" w:rsidRPr="00A42449" w:rsidRDefault="00A42449" w:rsidP="00A42449">
      <w:pPr>
        <w:spacing w:after="60" w:line="260" w:lineRule="exact"/>
        <w:rPr>
          <w:rFonts w:ascii="Montserrat" w:hAnsi="Montserrat"/>
          <w:sz w:val="20"/>
          <w:szCs w:val="20"/>
          <w:lang w:val="en-GB"/>
        </w:rPr>
      </w:pPr>
    </w:p>
    <w:p w14:paraId="50F9AE11" w14:textId="77777777" w:rsidR="00A42449" w:rsidRPr="001A5012" w:rsidRDefault="00A42449" w:rsidP="00A42449">
      <w:pPr>
        <w:spacing w:after="60" w:line="260" w:lineRule="exact"/>
        <w:rPr>
          <w:rFonts w:ascii="Montserrat" w:hAnsi="Montserrat"/>
          <w:i/>
          <w:iCs/>
          <w:sz w:val="20"/>
          <w:szCs w:val="20"/>
          <w:lang w:val="en-GB"/>
        </w:rPr>
      </w:pPr>
      <w:r w:rsidRPr="001A5012">
        <w:rPr>
          <w:rFonts w:ascii="Montserrat" w:hAnsi="Montserrat"/>
          <w:i/>
          <w:iCs/>
          <w:sz w:val="20"/>
          <w:szCs w:val="20"/>
          <w:lang w:val="en-GB"/>
        </w:rPr>
        <w:t>Do you support the Authority’s proposal for maintaining the contingent appropriation for the Electricity Litigation Fund for 2024/25 and outyears at $1.5 million?</w:t>
      </w:r>
    </w:p>
    <w:p w14:paraId="1597A7B5" w14:textId="77777777" w:rsidR="00A42449" w:rsidRPr="00A42449" w:rsidRDefault="00A42449" w:rsidP="00A42449">
      <w:pPr>
        <w:spacing w:after="60" w:line="260" w:lineRule="exact"/>
        <w:rPr>
          <w:rFonts w:ascii="Montserrat" w:hAnsi="Montserrat"/>
          <w:sz w:val="20"/>
          <w:szCs w:val="20"/>
          <w:lang w:val="en-GB"/>
        </w:rPr>
      </w:pPr>
    </w:p>
    <w:p w14:paraId="760982F2" w14:textId="77777777"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Yes.</w:t>
      </w:r>
    </w:p>
    <w:p w14:paraId="65F186F5" w14:textId="77777777" w:rsidR="00A42449" w:rsidRPr="00A42449" w:rsidRDefault="00A42449" w:rsidP="00A42449">
      <w:pPr>
        <w:spacing w:after="60" w:line="260" w:lineRule="exact"/>
        <w:rPr>
          <w:rFonts w:ascii="Montserrat" w:hAnsi="Montserrat"/>
          <w:sz w:val="20"/>
          <w:szCs w:val="20"/>
          <w:lang w:val="en-GB"/>
        </w:rPr>
      </w:pPr>
    </w:p>
    <w:p w14:paraId="7DD34762" w14:textId="77777777" w:rsidR="00A42449" w:rsidRPr="001A5012" w:rsidRDefault="00A42449" w:rsidP="00A42449">
      <w:pPr>
        <w:spacing w:after="60" w:line="260" w:lineRule="exact"/>
        <w:rPr>
          <w:rFonts w:ascii="Montserrat" w:hAnsi="Montserrat"/>
          <w:i/>
          <w:iCs/>
          <w:sz w:val="20"/>
          <w:szCs w:val="20"/>
          <w:lang w:val="en-GB"/>
        </w:rPr>
      </w:pPr>
      <w:r w:rsidRPr="001A5012">
        <w:rPr>
          <w:rFonts w:ascii="Montserrat" w:hAnsi="Montserrat"/>
          <w:i/>
          <w:iCs/>
          <w:sz w:val="20"/>
          <w:szCs w:val="20"/>
          <w:lang w:val="en-GB"/>
        </w:rPr>
        <w:t>Do you have any comments on the Authority’s proposed funding 2024/25?</w:t>
      </w:r>
    </w:p>
    <w:p w14:paraId="2D666766" w14:textId="77777777" w:rsidR="00A42449" w:rsidRPr="00A42449" w:rsidRDefault="00A42449" w:rsidP="00A42449">
      <w:pPr>
        <w:spacing w:after="60" w:line="260" w:lineRule="exact"/>
        <w:rPr>
          <w:rFonts w:ascii="Montserrat" w:hAnsi="Montserrat"/>
          <w:sz w:val="20"/>
          <w:szCs w:val="20"/>
          <w:lang w:val="en-GB"/>
        </w:rPr>
      </w:pPr>
    </w:p>
    <w:p w14:paraId="4C998401" w14:textId="77777777"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 xml:space="preserve">The Authority states that while it considers ‘Option 2’ the prudent approach, its preference was ‘Option 3 – Enabling a consumer-focused transition’, as it believes </w:t>
      </w:r>
      <w:proofErr w:type="gramStart"/>
      <w:r w:rsidRPr="00A42449">
        <w:rPr>
          <w:rFonts w:ascii="Montserrat" w:hAnsi="Montserrat"/>
          <w:sz w:val="20"/>
          <w:szCs w:val="20"/>
          <w:lang w:val="en-GB"/>
        </w:rPr>
        <w:t>this options</w:t>
      </w:r>
      <w:proofErr w:type="gramEnd"/>
      <w:r w:rsidRPr="00A42449">
        <w:rPr>
          <w:rFonts w:ascii="Montserrat" w:hAnsi="Montserrat"/>
          <w:sz w:val="20"/>
          <w:szCs w:val="20"/>
          <w:lang w:val="en-GB"/>
        </w:rPr>
        <w:t xml:space="preserve"> would enable it to broaden its work programme and progress at a faster pace. It therefore notes that pending the outcome of this consultation that there may be case to see a further increase on its 2025/26 levy.</w:t>
      </w:r>
    </w:p>
    <w:p w14:paraId="3869ECEF" w14:textId="77777777" w:rsidR="00A42449" w:rsidRPr="00A42449" w:rsidRDefault="00A42449" w:rsidP="00A42449">
      <w:pPr>
        <w:spacing w:after="60" w:line="260" w:lineRule="exact"/>
        <w:rPr>
          <w:rFonts w:ascii="Montserrat" w:hAnsi="Montserrat"/>
          <w:sz w:val="20"/>
          <w:szCs w:val="20"/>
          <w:lang w:val="en-GB"/>
        </w:rPr>
      </w:pPr>
    </w:p>
    <w:p w14:paraId="52B36D1B" w14:textId="0ED5F620"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 xml:space="preserve">With any increase ultimately paid for by the consumer, we would seek assurance that any future requests to </w:t>
      </w:r>
      <w:r w:rsidR="00CB7E23">
        <w:rPr>
          <w:rFonts w:ascii="Montserrat" w:hAnsi="Montserrat"/>
          <w:sz w:val="20"/>
          <w:szCs w:val="20"/>
          <w:lang w:val="en-GB"/>
        </w:rPr>
        <w:t xml:space="preserve">levy </w:t>
      </w:r>
      <w:r w:rsidRPr="00A42449">
        <w:rPr>
          <w:rFonts w:ascii="Montserrat" w:hAnsi="Montserrat"/>
          <w:sz w:val="20"/>
          <w:szCs w:val="20"/>
          <w:lang w:val="en-GB"/>
        </w:rPr>
        <w:t xml:space="preserve">increases in addition to the </w:t>
      </w:r>
      <w:r w:rsidR="00CB7E23">
        <w:rPr>
          <w:rFonts w:ascii="Montserrat" w:hAnsi="Montserrat"/>
          <w:sz w:val="20"/>
          <w:szCs w:val="20"/>
          <w:lang w:val="en-GB"/>
        </w:rPr>
        <w:t xml:space="preserve">current </w:t>
      </w:r>
      <w:r w:rsidRPr="00A42449">
        <w:rPr>
          <w:rFonts w:ascii="Montserrat" w:hAnsi="Montserrat"/>
          <w:sz w:val="20"/>
          <w:szCs w:val="20"/>
          <w:lang w:val="en-GB"/>
        </w:rPr>
        <w:t xml:space="preserve">Option 2 </w:t>
      </w:r>
      <w:r w:rsidR="00CB7E23">
        <w:rPr>
          <w:rFonts w:ascii="Montserrat" w:hAnsi="Montserrat"/>
          <w:sz w:val="20"/>
          <w:szCs w:val="20"/>
          <w:lang w:val="en-GB"/>
        </w:rPr>
        <w:t>proposal</w:t>
      </w:r>
      <w:r w:rsidRPr="00A42449">
        <w:rPr>
          <w:rFonts w:ascii="Montserrat" w:hAnsi="Montserrat"/>
          <w:sz w:val="20"/>
          <w:szCs w:val="20"/>
          <w:lang w:val="en-GB"/>
        </w:rPr>
        <w:t xml:space="preserve">, </w:t>
      </w:r>
      <w:r w:rsidR="00CB7E23">
        <w:rPr>
          <w:rFonts w:ascii="Montserrat" w:hAnsi="Montserrat"/>
          <w:sz w:val="20"/>
          <w:szCs w:val="20"/>
          <w:lang w:val="en-GB"/>
        </w:rPr>
        <w:t>is</w:t>
      </w:r>
      <w:r w:rsidRPr="00A42449">
        <w:rPr>
          <w:rFonts w:ascii="Montserrat" w:hAnsi="Montserrat"/>
          <w:sz w:val="20"/>
          <w:szCs w:val="20"/>
          <w:lang w:val="en-GB"/>
        </w:rPr>
        <w:t xml:space="preserve"> supported with clear documentation and justification as to why a further increase is needed.</w:t>
      </w:r>
    </w:p>
    <w:p w14:paraId="486D8E4F" w14:textId="77777777" w:rsidR="00A42449" w:rsidRPr="00A42449" w:rsidRDefault="00A42449" w:rsidP="00A42449">
      <w:pPr>
        <w:spacing w:after="60" w:line="260" w:lineRule="exact"/>
        <w:rPr>
          <w:rFonts w:ascii="Montserrat" w:hAnsi="Montserrat"/>
          <w:sz w:val="20"/>
          <w:szCs w:val="20"/>
          <w:lang w:val="en-GB"/>
        </w:rPr>
      </w:pPr>
    </w:p>
    <w:p w14:paraId="2DF93CF3" w14:textId="77777777" w:rsidR="00A42449" w:rsidRPr="00B77FB3" w:rsidRDefault="00A42449" w:rsidP="00A42449">
      <w:pPr>
        <w:spacing w:after="60" w:line="260" w:lineRule="exact"/>
        <w:rPr>
          <w:rFonts w:ascii="Montserrat" w:hAnsi="Montserrat"/>
          <w:i/>
          <w:iCs/>
          <w:sz w:val="20"/>
          <w:szCs w:val="20"/>
          <w:lang w:val="en-GB"/>
        </w:rPr>
      </w:pPr>
      <w:r w:rsidRPr="00B77FB3">
        <w:rPr>
          <w:rFonts w:ascii="Montserrat" w:hAnsi="Montserrat"/>
          <w:i/>
          <w:iCs/>
          <w:sz w:val="20"/>
          <w:szCs w:val="20"/>
          <w:lang w:val="en-GB"/>
        </w:rPr>
        <w:t>Do you have any comments on the Authority’s vision and intended outcomes?</w:t>
      </w:r>
    </w:p>
    <w:p w14:paraId="4DA3FE5C" w14:textId="77777777" w:rsidR="00A42449" w:rsidRPr="00A42449" w:rsidRDefault="00A42449" w:rsidP="00A42449">
      <w:pPr>
        <w:spacing w:after="60" w:line="260" w:lineRule="exact"/>
        <w:rPr>
          <w:rFonts w:ascii="Montserrat" w:hAnsi="Montserrat"/>
          <w:sz w:val="20"/>
          <w:szCs w:val="20"/>
          <w:lang w:val="en-GB"/>
        </w:rPr>
      </w:pPr>
    </w:p>
    <w:p w14:paraId="2761DF39" w14:textId="77777777"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 xml:space="preserve">We support the vision and intended outcomes. </w:t>
      </w:r>
    </w:p>
    <w:p w14:paraId="70BD5257" w14:textId="77777777" w:rsidR="00A42449" w:rsidRPr="00A42449" w:rsidRDefault="00A42449" w:rsidP="00A42449">
      <w:pPr>
        <w:spacing w:after="60" w:line="260" w:lineRule="exact"/>
        <w:rPr>
          <w:rFonts w:ascii="Montserrat" w:hAnsi="Montserrat"/>
          <w:sz w:val="20"/>
          <w:szCs w:val="20"/>
          <w:lang w:val="en-GB"/>
        </w:rPr>
      </w:pPr>
    </w:p>
    <w:p w14:paraId="2A0CBC22" w14:textId="77777777" w:rsidR="00A42449" w:rsidRPr="005C09B5" w:rsidRDefault="00A42449" w:rsidP="00A42449">
      <w:pPr>
        <w:spacing w:after="60" w:line="260" w:lineRule="exact"/>
        <w:rPr>
          <w:rFonts w:ascii="Montserrat" w:hAnsi="Montserrat"/>
          <w:i/>
          <w:iCs/>
          <w:sz w:val="20"/>
          <w:szCs w:val="20"/>
          <w:lang w:val="en-GB"/>
        </w:rPr>
      </w:pPr>
      <w:r w:rsidRPr="005C09B5">
        <w:rPr>
          <w:rFonts w:ascii="Montserrat" w:hAnsi="Montserrat"/>
          <w:i/>
          <w:iCs/>
          <w:sz w:val="20"/>
          <w:szCs w:val="20"/>
          <w:lang w:val="en-GB"/>
        </w:rPr>
        <w:t>Do you have any comments on the Authority’s indicative work programme for 2024/25?</w:t>
      </w:r>
    </w:p>
    <w:p w14:paraId="459A26D0" w14:textId="77777777" w:rsidR="00A42449" w:rsidRPr="00A42449" w:rsidRDefault="00A42449" w:rsidP="00A42449">
      <w:pPr>
        <w:spacing w:after="60" w:line="260" w:lineRule="exact"/>
        <w:rPr>
          <w:rFonts w:ascii="Montserrat" w:hAnsi="Montserrat"/>
          <w:sz w:val="20"/>
          <w:szCs w:val="20"/>
          <w:lang w:val="en-GB"/>
        </w:rPr>
      </w:pPr>
    </w:p>
    <w:p w14:paraId="45CFD7D2" w14:textId="77777777"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 xml:space="preserve">The indicative work programme is clear and well outlined with five strategic ambitions that align with ERANZ’s own priorities. We would note that the programme has been developed to support the Authority’s strategic ambitions developed as part of its 2020 strategy refresh and that any subsequent changes or updates to the Authority’s strategic direction be reflected and communicated in due course. </w:t>
      </w:r>
    </w:p>
    <w:p w14:paraId="64E05093" w14:textId="77777777" w:rsidR="00A42449" w:rsidRPr="00A42449" w:rsidRDefault="00A42449" w:rsidP="00A42449">
      <w:pPr>
        <w:spacing w:after="60" w:line="260" w:lineRule="exact"/>
        <w:rPr>
          <w:rFonts w:ascii="Montserrat" w:hAnsi="Montserrat"/>
          <w:sz w:val="20"/>
          <w:szCs w:val="20"/>
          <w:lang w:val="en-GB"/>
        </w:rPr>
      </w:pPr>
    </w:p>
    <w:p w14:paraId="0C7FF990" w14:textId="77777777" w:rsidR="00A42449" w:rsidRPr="00A42449" w:rsidRDefault="00A42449" w:rsidP="00A42449">
      <w:pPr>
        <w:spacing w:after="60" w:line="260" w:lineRule="exact"/>
        <w:rPr>
          <w:rFonts w:ascii="Montserrat" w:hAnsi="Montserrat"/>
          <w:sz w:val="20"/>
          <w:szCs w:val="20"/>
          <w:lang w:val="en-GB"/>
        </w:rPr>
      </w:pPr>
      <w:r w:rsidRPr="00A42449">
        <w:rPr>
          <w:rFonts w:ascii="Montserrat" w:hAnsi="Montserrat"/>
          <w:sz w:val="20"/>
          <w:szCs w:val="20"/>
          <w:lang w:val="en-GB"/>
        </w:rPr>
        <w:t xml:space="preserve">We also note the inclusion of specific workstreams that have recently been consulted on, such as the Consumer Care Guidelines reform. We would request that any results of these consultations be reflected in the work programme with updates made as and where needed. </w:t>
      </w:r>
    </w:p>
    <w:p w14:paraId="2495BAD8" w14:textId="77777777" w:rsidR="00A42449" w:rsidRPr="00A42449" w:rsidRDefault="00A42449" w:rsidP="00A42449">
      <w:pPr>
        <w:spacing w:after="60" w:line="260" w:lineRule="exact"/>
        <w:rPr>
          <w:rFonts w:ascii="Montserrat" w:hAnsi="Montserrat"/>
          <w:sz w:val="20"/>
          <w:szCs w:val="20"/>
          <w:lang w:val="en-GB"/>
        </w:rPr>
      </w:pPr>
    </w:p>
    <w:p w14:paraId="2B32B513" w14:textId="77777777" w:rsidR="00A42449" w:rsidRPr="004B65AC" w:rsidRDefault="00A42449" w:rsidP="00A42449">
      <w:pPr>
        <w:spacing w:after="60" w:line="260" w:lineRule="exact"/>
        <w:rPr>
          <w:rFonts w:ascii="Montserrat" w:hAnsi="Montserrat"/>
          <w:b/>
          <w:bCs/>
          <w:color w:val="1F4F75" w:themeColor="accent6"/>
          <w:sz w:val="20"/>
          <w:szCs w:val="20"/>
          <w:lang w:val="en-GB"/>
        </w:rPr>
      </w:pPr>
      <w:r w:rsidRPr="004B65AC">
        <w:rPr>
          <w:rFonts w:ascii="Montserrat" w:hAnsi="Montserrat"/>
          <w:b/>
          <w:bCs/>
          <w:color w:val="1F4F75" w:themeColor="accent6"/>
          <w:sz w:val="20"/>
          <w:szCs w:val="20"/>
          <w:lang w:val="en-GB"/>
        </w:rPr>
        <w:t>Conclusion</w:t>
      </w:r>
    </w:p>
    <w:p w14:paraId="1F2DA66B" w14:textId="77777777" w:rsidR="00A42449" w:rsidRPr="00A42449" w:rsidRDefault="00A42449" w:rsidP="00A42449">
      <w:pPr>
        <w:spacing w:after="60" w:line="260" w:lineRule="exact"/>
        <w:rPr>
          <w:rFonts w:ascii="Montserrat" w:hAnsi="Montserrat"/>
          <w:sz w:val="20"/>
          <w:szCs w:val="20"/>
          <w:lang w:val="en-GB"/>
        </w:rPr>
      </w:pPr>
    </w:p>
    <w:p w14:paraId="73F9A5DF" w14:textId="0E11E867" w:rsidR="00780E25" w:rsidRDefault="00A42449" w:rsidP="009B348B">
      <w:pPr>
        <w:spacing w:after="60" w:line="260" w:lineRule="exact"/>
        <w:rPr>
          <w:rFonts w:ascii="Montserrat" w:hAnsi="Montserrat"/>
          <w:sz w:val="20"/>
          <w:szCs w:val="20"/>
          <w:lang w:val="en-GB"/>
        </w:rPr>
      </w:pPr>
      <w:r w:rsidRPr="00A42449">
        <w:rPr>
          <w:rFonts w:ascii="Montserrat" w:hAnsi="Montserrat"/>
          <w:sz w:val="20"/>
          <w:szCs w:val="20"/>
          <w:lang w:val="en-GB"/>
        </w:rPr>
        <w:t>ERANZ would like to thank the Authority for your consideration of our submission.</w:t>
      </w:r>
    </w:p>
    <w:p w14:paraId="7C5D9549" w14:textId="77777777" w:rsidR="00A42449" w:rsidRPr="004B65AC" w:rsidRDefault="00A42449" w:rsidP="009B348B">
      <w:pPr>
        <w:spacing w:after="60" w:line="260" w:lineRule="exact"/>
        <w:rPr>
          <w:rFonts w:ascii="Montserrat" w:hAnsi="Montserrat"/>
          <w:sz w:val="20"/>
          <w:szCs w:val="20"/>
          <w:lang w:val="en-GB"/>
        </w:rPr>
      </w:pPr>
    </w:p>
    <w:p w14:paraId="43C5FBFD" w14:textId="1CEF139A" w:rsidR="009B348B" w:rsidRPr="004B65AC" w:rsidRDefault="00494AA6" w:rsidP="009B348B">
      <w:pPr>
        <w:spacing w:after="60" w:line="260" w:lineRule="exact"/>
        <w:rPr>
          <w:rFonts w:ascii="Montserrat" w:hAnsi="Montserrat"/>
          <w:sz w:val="20"/>
          <w:szCs w:val="20"/>
          <w:lang w:val="en-GB"/>
        </w:rPr>
      </w:pPr>
      <w:r w:rsidRPr="004B65AC">
        <w:rPr>
          <w:rFonts w:ascii="Montserrat" w:hAnsi="Montserrat"/>
          <w:noProof/>
          <w:sz w:val="20"/>
          <w:szCs w:val="20"/>
          <w:lang w:val="en-GB"/>
          <w14:ligatures w14:val="standardContextual"/>
        </w:rPr>
        <w:lastRenderedPageBreak/>
        <w:drawing>
          <wp:anchor distT="0" distB="0" distL="114300" distR="114300" simplePos="0" relativeHeight="251658240" behindDoc="0" locked="0" layoutInCell="1" allowOverlap="1" wp14:anchorId="0722E5E4" wp14:editId="5EAC2077">
            <wp:simplePos x="0" y="0"/>
            <wp:positionH relativeFrom="column">
              <wp:posOffset>3810</wp:posOffset>
            </wp:positionH>
            <wp:positionV relativeFrom="paragraph">
              <wp:posOffset>173990</wp:posOffset>
            </wp:positionV>
            <wp:extent cx="2263140" cy="918845"/>
            <wp:effectExtent l="0" t="0" r="0" b="0"/>
            <wp:wrapTopAndBottom/>
            <wp:docPr id="318315287"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315287" name="Picture 1" descr="A signature of a pers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263140" cy="918845"/>
                    </a:xfrm>
                    <a:prstGeom prst="rect">
                      <a:avLst/>
                    </a:prstGeom>
                  </pic:spPr>
                </pic:pic>
              </a:graphicData>
            </a:graphic>
            <wp14:sizeRelH relativeFrom="page">
              <wp14:pctWidth>0</wp14:pctWidth>
            </wp14:sizeRelH>
            <wp14:sizeRelV relativeFrom="page">
              <wp14:pctHeight>0</wp14:pctHeight>
            </wp14:sizeRelV>
          </wp:anchor>
        </w:drawing>
      </w:r>
      <w:r w:rsidR="009B348B" w:rsidRPr="004B65AC">
        <w:rPr>
          <w:rFonts w:ascii="Montserrat" w:hAnsi="Montserrat"/>
          <w:sz w:val="20"/>
          <w:szCs w:val="20"/>
          <w:lang w:val="en-GB"/>
        </w:rPr>
        <w:t>Yours sincerely</w:t>
      </w:r>
    </w:p>
    <w:p w14:paraId="2CA671E7" w14:textId="58188237" w:rsidR="009B348B" w:rsidRPr="004B65AC" w:rsidRDefault="009A575A" w:rsidP="009B348B">
      <w:pPr>
        <w:spacing w:line="260" w:lineRule="exact"/>
        <w:rPr>
          <w:rFonts w:ascii="Montserrat" w:hAnsi="Montserrat"/>
          <w:color w:val="000000" w:themeColor="text1"/>
          <w:sz w:val="20"/>
          <w:szCs w:val="20"/>
          <w:lang w:val="en-GB"/>
        </w:rPr>
      </w:pPr>
      <w:r w:rsidRPr="004B65AC">
        <w:rPr>
          <w:rFonts w:ascii="Montserrat" w:hAnsi="Montserrat"/>
          <w:color w:val="000000" w:themeColor="text1"/>
          <w:sz w:val="20"/>
          <w:szCs w:val="20"/>
          <w:lang w:val="en-GB"/>
        </w:rPr>
        <w:t>Kenny Clark</w:t>
      </w:r>
    </w:p>
    <w:p w14:paraId="2906E250" w14:textId="17501D3C" w:rsidR="009A575A" w:rsidRPr="004B65AC" w:rsidRDefault="009A575A" w:rsidP="009B348B">
      <w:pPr>
        <w:spacing w:line="260" w:lineRule="exact"/>
        <w:rPr>
          <w:rFonts w:ascii="Montserrat" w:hAnsi="Montserrat"/>
          <w:color w:val="000000" w:themeColor="text1"/>
          <w:sz w:val="20"/>
          <w:szCs w:val="20"/>
          <w:lang w:val="en-GB"/>
        </w:rPr>
      </w:pPr>
      <w:r w:rsidRPr="004B65AC">
        <w:rPr>
          <w:rFonts w:ascii="Montserrat" w:hAnsi="Montserrat"/>
          <w:color w:val="000000" w:themeColor="text1"/>
          <w:sz w:val="20"/>
          <w:szCs w:val="20"/>
          <w:lang w:val="en-GB"/>
        </w:rPr>
        <w:t>Policy Consultant</w:t>
      </w:r>
    </w:p>
    <w:p w14:paraId="12251F5E" w14:textId="33DBDA87" w:rsidR="00550CB7" w:rsidRPr="004B65AC" w:rsidRDefault="00550CB7" w:rsidP="00550CB7">
      <w:pPr>
        <w:rPr>
          <w:rFonts w:ascii="Montserrat" w:hAnsi="Montserrat"/>
          <w:sz w:val="20"/>
          <w:szCs w:val="20"/>
          <w:lang w:val="en-GB"/>
        </w:rPr>
      </w:pPr>
    </w:p>
    <w:sectPr w:rsidR="00550CB7" w:rsidRPr="004B65AC" w:rsidSect="00E57642">
      <w:headerReference w:type="default" r:id="rId11"/>
      <w:footerReference w:type="even" r:id="rId12"/>
      <w:footerReference w:type="default" r:id="rId13"/>
      <w:headerReference w:type="first" r:id="rId14"/>
      <w:footerReference w:type="first" r:id="rId15"/>
      <w:pgSz w:w="11910" w:h="16840"/>
      <w:pgMar w:top="1736" w:right="853" w:bottom="1134" w:left="1134" w:header="0" w:footer="5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D174" w14:textId="77777777" w:rsidR="00C86573" w:rsidRDefault="00C86573" w:rsidP="009B348B">
      <w:r>
        <w:separator/>
      </w:r>
    </w:p>
  </w:endnote>
  <w:endnote w:type="continuationSeparator" w:id="0">
    <w:p w14:paraId="1F6A9EB1" w14:textId="77777777" w:rsidR="00C86573" w:rsidRDefault="00C86573" w:rsidP="009B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ExtraBold">
    <w:panose1 w:val="020B0906030804020204"/>
    <w:charset w:val="00"/>
    <w:family w:val="swiss"/>
    <w:pitch w:val="variable"/>
    <w:sig w:usb0="E00002EF" w:usb1="4000205B" w:usb2="00000028" w:usb3="00000000" w:csb0="0000019F" w:csb1="00000000"/>
  </w:font>
  <w:font w:name="Times New Roman (Body CS)">
    <w:altName w:val="Times New Roman"/>
    <w:panose1 w:val="020B0604020202020204"/>
    <w:charset w:val="00"/>
    <w:family w:val="roman"/>
    <w:pitch w:val="default"/>
  </w:font>
  <w:font w:name="Montserrat">
    <w:panose1 w:val="00000500000000000000"/>
    <w:charset w:val="4D"/>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0092219"/>
      <w:docPartObj>
        <w:docPartGallery w:val="Page Numbers (Bottom of Page)"/>
        <w:docPartUnique/>
      </w:docPartObj>
    </w:sdtPr>
    <w:sdtEndPr>
      <w:rPr>
        <w:rStyle w:val="PageNumber"/>
      </w:rPr>
    </w:sdtEndPr>
    <w:sdtContent>
      <w:p w14:paraId="4E246AE8" w14:textId="61DBB4B7" w:rsidR="009C5B30" w:rsidRDefault="009C5B30" w:rsidP="00306D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78610B" w14:textId="77777777" w:rsidR="009C5B30" w:rsidRDefault="009C5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b/>
        <w:bCs/>
        <w:color w:val="3297C7" w:themeColor="accent1"/>
        <w:sz w:val="20"/>
        <w:szCs w:val="20"/>
      </w:rPr>
      <w:id w:val="-1734694166"/>
      <w:docPartObj>
        <w:docPartGallery w:val="Page Numbers (Bottom of Page)"/>
        <w:docPartUnique/>
      </w:docPartObj>
    </w:sdtPr>
    <w:sdtEndPr/>
    <w:sdtContent>
      <w:p w14:paraId="58C93C35" w14:textId="0ADEE6B4" w:rsidR="009C5B30" w:rsidRPr="009C5B30" w:rsidRDefault="009C5B30" w:rsidP="009C5B30">
        <w:pPr>
          <w:pStyle w:val="Footer"/>
          <w:framePr w:wrap="none" w:vAnchor="text" w:hAnchor="margin" w:xAlign="center" w:y="1"/>
          <w:spacing w:line="260" w:lineRule="exact"/>
          <w:jc w:val="center"/>
          <w:rPr>
            <w:rFonts w:ascii="Montserrat" w:hAnsi="Montserrat"/>
            <w:b/>
            <w:bCs/>
            <w:color w:val="3297C7" w:themeColor="accent1"/>
            <w:sz w:val="20"/>
            <w:szCs w:val="20"/>
          </w:rPr>
        </w:pPr>
        <w:r w:rsidRPr="009C5B30">
          <w:rPr>
            <w:rFonts w:ascii="Montserrat" w:hAnsi="Montserrat"/>
            <w:b/>
            <w:bCs/>
            <w:color w:val="3297C7" w:themeColor="accent1"/>
            <w:sz w:val="20"/>
            <w:szCs w:val="20"/>
          </w:rPr>
          <w:fldChar w:fldCharType="begin"/>
        </w:r>
        <w:r w:rsidRPr="009C5B30">
          <w:rPr>
            <w:rFonts w:ascii="Montserrat" w:hAnsi="Montserrat"/>
            <w:b/>
            <w:bCs/>
            <w:color w:val="3297C7" w:themeColor="accent1"/>
            <w:sz w:val="20"/>
            <w:szCs w:val="20"/>
          </w:rPr>
          <w:instrText xml:space="preserve"> PAGE </w:instrText>
        </w:r>
        <w:r w:rsidRPr="009C5B30">
          <w:rPr>
            <w:rFonts w:ascii="Montserrat" w:hAnsi="Montserrat"/>
            <w:b/>
            <w:bCs/>
            <w:color w:val="3297C7" w:themeColor="accent1"/>
            <w:sz w:val="20"/>
            <w:szCs w:val="20"/>
          </w:rPr>
          <w:fldChar w:fldCharType="separate"/>
        </w:r>
        <w:r w:rsidRPr="009C5B30">
          <w:rPr>
            <w:rFonts w:ascii="Montserrat" w:hAnsi="Montserrat"/>
            <w:b/>
            <w:bCs/>
            <w:color w:val="3297C7" w:themeColor="accent1"/>
            <w:sz w:val="20"/>
            <w:szCs w:val="20"/>
          </w:rPr>
          <w:t>2</w:t>
        </w:r>
        <w:r w:rsidRPr="009C5B30">
          <w:rPr>
            <w:rFonts w:ascii="Montserrat" w:hAnsi="Montserrat"/>
            <w:b/>
            <w:bCs/>
            <w:color w:val="3297C7" w:themeColor="accent1"/>
            <w:sz w:val="20"/>
            <w:szCs w:val="20"/>
          </w:rPr>
          <w:fldChar w:fldCharType="end"/>
        </w:r>
      </w:p>
    </w:sdtContent>
  </w:sdt>
  <w:p w14:paraId="7B5A18C9" w14:textId="18651821" w:rsidR="009B348B" w:rsidRPr="00550CB7" w:rsidRDefault="009B348B" w:rsidP="009C5B30">
    <w:pPr>
      <w:pStyle w:val="Footer"/>
      <w:spacing w:line="260" w:lineRule="exact"/>
      <w:jc w:val="center"/>
      <w:rPr>
        <w:rFonts w:ascii="Montserrat" w:hAnsi="Montserrat"/>
        <w:color w:val="3297C7" w:themeColor="accen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29C9" w14:textId="77777777" w:rsidR="00522E5F" w:rsidRDefault="00522E5F" w:rsidP="009C5B30">
    <w:pPr>
      <w:pStyle w:val="Footer"/>
      <w:spacing w:line="260" w:lineRule="exact"/>
      <w:jc w:val="right"/>
      <w:rPr>
        <w:rFonts w:ascii="Montserrat" w:hAnsi="Montserrat"/>
        <w:color w:val="1F537B" w:themeColor="text2"/>
        <w:sz w:val="20"/>
        <w:szCs w:val="20"/>
      </w:rPr>
    </w:pPr>
  </w:p>
  <w:p w14:paraId="22003DCF" w14:textId="5FA49A31" w:rsidR="009C5B30" w:rsidRPr="009C5B30" w:rsidRDefault="009C5B30" w:rsidP="009C5B30">
    <w:pPr>
      <w:pStyle w:val="Footer"/>
      <w:spacing w:line="260" w:lineRule="exact"/>
      <w:jc w:val="right"/>
      <w:rPr>
        <w:rFonts w:ascii="Montserrat" w:hAnsi="Montserrat"/>
        <w:color w:val="3297C7" w:themeColor="accent1"/>
        <w:sz w:val="20"/>
        <w:szCs w:val="20"/>
      </w:rPr>
    </w:pPr>
    <w:r>
      <w:rPr>
        <w:rFonts w:ascii="Montserrat" w:hAnsi="Montserrat"/>
        <w:b/>
        <w:bCs/>
        <w:noProof/>
        <w:color w:val="1F537B" w:themeColor="text2"/>
        <w:sz w:val="20"/>
        <w:szCs w:val="20"/>
        <w14:ligatures w14:val="standardContextual"/>
      </w:rPr>
      <w:drawing>
        <wp:anchor distT="0" distB="0" distL="114300" distR="114300" simplePos="0" relativeHeight="251663360" behindDoc="1" locked="0" layoutInCell="1" allowOverlap="1" wp14:anchorId="67B7DE0D" wp14:editId="13CE7C9B">
          <wp:simplePos x="0" y="0"/>
          <wp:positionH relativeFrom="column">
            <wp:posOffset>2159284</wp:posOffset>
          </wp:positionH>
          <wp:positionV relativeFrom="paragraph">
            <wp:posOffset>-4543642</wp:posOffset>
          </wp:positionV>
          <wp:extent cx="6089514" cy="6638172"/>
          <wp:effectExtent l="0" t="0" r="0" b="0"/>
          <wp:wrapNone/>
          <wp:docPr id="9920675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67581" name="Picture 992067581"/>
                  <pic:cNvPicPr/>
                </pic:nvPicPr>
                <pic:blipFill>
                  <a:blip r:embed="rId1">
                    <a:alphaModFix amt="9000"/>
                    <a:extLst>
                      <a:ext uri="{28A0092B-C50C-407E-A947-70E740481C1C}">
                        <a14:useLocalDpi xmlns:a14="http://schemas.microsoft.com/office/drawing/2010/main" val="0"/>
                      </a:ext>
                    </a:extLst>
                  </a:blip>
                  <a:stretch>
                    <a:fillRect/>
                  </a:stretch>
                </pic:blipFill>
                <pic:spPr>
                  <a:xfrm>
                    <a:off x="0" y="0"/>
                    <a:ext cx="6089514" cy="6638172"/>
                  </a:xfrm>
                  <a:prstGeom prst="rect">
                    <a:avLst/>
                  </a:prstGeom>
                </pic:spPr>
              </pic:pic>
            </a:graphicData>
          </a:graphic>
          <wp14:sizeRelH relativeFrom="margin">
            <wp14:pctWidth>0</wp14:pctWidth>
          </wp14:sizeRelH>
          <wp14:sizeRelV relativeFrom="margin">
            <wp14:pctHeight>0</wp14:pctHeight>
          </wp14:sizeRelV>
        </wp:anchor>
      </w:drawing>
    </w:r>
    <w:r w:rsidRPr="009B348B">
      <w:rPr>
        <w:rFonts w:ascii="Montserrat" w:hAnsi="Montserrat"/>
        <w:color w:val="1F537B" w:themeColor="text2"/>
        <w:sz w:val="20"/>
        <w:szCs w:val="20"/>
      </w:rPr>
      <w:t xml:space="preserve">Level 1, 166 Featherston St, Wellington </w:t>
    </w:r>
    <w:proofErr w:type="gramStart"/>
    <w:r w:rsidRPr="009B348B">
      <w:rPr>
        <w:rFonts w:ascii="Montserrat" w:hAnsi="Montserrat"/>
        <w:color w:val="1F537B" w:themeColor="text2"/>
        <w:sz w:val="20"/>
        <w:szCs w:val="20"/>
      </w:rPr>
      <w:t>6011</w:t>
    </w:r>
    <w:r w:rsidRPr="00550CB7">
      <w:rPr>
        <w:rFonts w:ascii="Montserrat" w:hAnsi="Montserrat"/>
        <w:b/>
        <w:bCs/>
        <w:color w:val="3297C7" w:themeColor="accent1"/>
        <w:sz w:val="20"/>
        <w:szCs w:val="20"/>
      </w:rPr>
      <w:t xml:space="preserve">  /</w:t>
    </w:r>
    <w:proofErr w:type="gramEnd"/>
    <w:r w:rsidRPr="00550CB7">
      <w:rPr>
        <w:rFonts w:ascii="Montserrat" w:hAnsi="Montserrat"/>
        <w:color w:val="3297C7" w:themeColor="accent1"/>
        <w:sz w:val="20"/>
        <w:szCs w:val="20"/>
      </w:rPr>
      <w:t xml:space="preserve">  </w:t>
    </w:r>
    <w:r w:rsidRPr="009B348B">
      <w:rPr>
        <w:rFonts w:ascii="Montserrat" w:hAnsi="Montserrat"/>
        <w:color w:val="1F537B" w:themeColor="text2"/>
        <w:sz w:val="20"/>
        <w:szCs w:val="20"/>
      </w:rPr>
      <w:t>PO Box 25596 Wellington 6140</w:t>
    </w:r>
    <w:r>
      <w:rPr>
        <w:rFonts w:ascii="Montserrat" w:hAnsi="Montserrat"/>
        <w:color w:val="1F537B" w:themeColor="text2"/>
        <w:sz w:val="20"/>
        <w:szCs w:val="20"/>
      </w:rPr>
      <w:br/>
    </w:r>
    <w:r w:rsidRPr="00550CB7">
      <w:rPr>
        <w:rFonts w:ascii="Montserrat" w:hAnsi="Montserrat"/>
        <w:b/>
        <w:bCs/>
        <w:color w:val="3297C7" w:themeColor="accent1"/>
        <w:sz w:val="20"/>
        <w:szCs w:val="20"/>
      </w:rPr>
      <w:t>eranz.org.nz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CBF0" w14:textId="77777777" w:rsidR="00C86573" w:rsidRDefault="00C86573" w:rsidP="009B348B">
      <w:r>
        <w:separator/>
      </w:r>
    </w:p>
  </w:footnote>
  <w:footnote w:type="continuationSeparator" w:id="0">
    <w:p w14:paraId="537C4E49" w14:textId="77777777" w:rsidR="00C86573" w:rsidRDefault="00C86573" w:rsidP="009B3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7872" w14:textId="63745F85" w:rsidR="009B348B" w:rsidRDefault="009B348B" w:rsidP="00550CB7">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EE1E" w14:textId="01A7343C" w:rsidR="009C5B30" w:rsidRDefault="009C5B30">
    <w:pPr>
      <w:pStyle w:val="Header"/>
    </w:pPr>
    <w:r>
      <w:rPr>
        <w:rFonts w:ascii="Montserrat" w:hAnsi="Montserrat"/>
        <w:b/>
        <w:bCs/>
        <w:noProof/>
        <w:color w:val="1F537B" w:themeColor="text2"/>
        <w:sz w:val="20"/>
        <w:szCs w:val="20"/>
        <w14:ligatures w14:val="standardContextual"/>
      </w:rPr>
      <w:drawing>
        <wp:anchor distT="0" distB="0" distL="114300" distR="114300" simplePos="0" relativeHeight="251661312" behindDoc="1" locked="0" layoutInCell="1" allowOverlap="1" wp14:anchorId="068B9427" wp14:editId="38745F2F">
          <wp:simplePos x="0" y="0"/>
          <wp:positionH relativeFrom="margin">
            <wp:posOffset>4300855</wp:posOffset>
          </wp:positionH>
          <wp:positionV relativeFrom="paragraph">
            <wp:posOffset>654540</wp:posOffset>
          </wp:positionV>
          <wp:extent cx="2000816" cy="607644"/>
          <wp:effectExtent l="0" t="0" r="0" b="0"/>
          <wp:wrapNone/>
          <wp:docPr id="369287428" name="Picture 36928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54815" name="Picture 1928254815"/>
                  <pic:cNvPicPr/>
                </pic:nvPicPr>
                <pic:blipFill>
                  <a:blip r:embed="rId1">
                    <a:extLst>
                      <a:ext uri="{28A0092B-C50C-407E-A947-70E740481C1C}">
                        <a14:useLocalDpi xmlns:a14="http://schemas.microsoft.com/office/drawing/2010/main" val="0"/>
                      </a:ext>
                    </a:extLst>
                  </a:blip>
                  <a:stretch>
                    <a:fillRect/>
                  </a:stretch>
                </pic:blipFill>
                <pic:spPr>
                  <a:xfrm>
                    <a:off x="0" y="0"/>
                    <a:ext cx="2000816" cy="6076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193"/>
    <w:multiLevelType w:val="hybridMultilevel"/>
    <w:tmpl w:val="DBECA26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 w15:restartNumberingAfterBreak="0">
    <w:nsid w:val="19B27DB1"/>
    <w:multiLevelType w:val="hybridMultilevel"/>
    <w:tmpl w:val="656662C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552DB"/>
    <w:multiLevelType w:val="hybridMultilevel"/>
    <w:tmpl w:val="E70A1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2559B8"/>
    <w:multiLevelType w:val="hybridMultilevel"/>
    <w:tmpl w:val="4AB2E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F2616F"/>
    <w:multiLevelType w:val="hybridMultilevel"/>
    <w:tmpl w:val="67B60CF8"/>
    <w:lvl w:ilvl="0" w:tplc="0600A2DE">
      <w:start w:val="1"/>
      <w:numFmt w:val="bullet"/>
      <w:pStyle w:val="Coverpageheade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0D5ABF"/>
    <w:multiLevelType w:val="hybridMultilevel"/>
    <w:tmpl w:val="1AA6A5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50807777">
    <w:abstractNumId w:val="4"/>
  </w:num>
  <w:num w:numId="2" w16cid:durableId="909728426">
    <w:abstractNumId w:val="0"/>
  </w:num>
  <w:num w:numId="3" w16cid:durableId="1996489484">
    <w:abstractNumId w:val="1"/>
  </w:num>
  <w:num w:numId="4" w16cid:durableId="1284381855">
    <w:abstractNumId w:val="3"/>
  </w:num>
  <w:num w:numId="5" w16cid:durableId="89592473">
    <w:abstractNumId w:val="2"/>
  </w:num>
  <w:num w:numId="6" w16cid:durableId="729381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30"/>
    <w:rsid w:val="00002827"/>
    <w:rsid w:val="0000483B"/>
    <w:rsid w:val="00004BD4"/>
    <w:rsid w:val="00006940"/>
    <w:rsid w:val="0001002E"/>
    <w:rsid w:val="00010269"/>
    <w:rsid w:val="0001029B"/>
    <w:rsid w:val="00013B54"/>
    <w:rsid w:val="000149B9"/>
    <w:rsid w:val="000228C0"/>
    <w:rsid w:val="000236D3"/>
    <w:rsid w:val="000245E7"/>
    <w:rsid w:val="00032C67"/>
    <w:rsid w:val="00045A88"/>
    <w:rsid w:val="00050606"/>
    <w:rsid w:val="00053157"/>
    <w:rsid w:val="000553C9"/>
    <w:rsid w:val="00057D74"/>
    <w:rsid w:val="000619A2"/>
    <w:rsid w:val="000660DA"/>
    <w:rsid w:val="00075FA3"/>
    <w:rsid w:val="000762D0"/>
    <w:rsid w:val="00076F41"/>
    <w:rsid w:val="000816C5"/>
    <w:rsid w:val="000868CE"/>
    <w:rsid w:val="0009007A"/>
    <w:rsid w:val="000A219B"/>
    <w:rsid w:val="000B763C"/>
    <w:rsid w:val="000C1DFC"/>
    <w:rsid w:val="000C28F7"/>
    <w:rsid w:val="000C5ABF"/>
    <w:rsid w:val="000C5F36"/>
    <w:rsid w:val="000D412B"/>
    <w:rsid w:val="000D47E9"/>
    <w:rsid w:val="000D6484"/>
    <w:rsid w:val="000E5E04"/>
    <w:rsid w:val="000F1F05"/>
    <w:rsid w:val="000F7048"/>
    <w:rsid w:val="00100957"/>
    <w:rsid w:val="00104EDD"/>
    <w:rsid w:val="00111B82"/>
    <w:rsid w:val="001120EF"/>
    <w:rsid w:val="00113468"/>
    <w:rsid w:val="00113A8F"/>
    <w:rsid w:val="00120207"/>
    <w:rsid w:val="001208CA"/>
    <w:rsid w:val="00131723"/>
    <w:rsid w:val="00133EAA"/>
    <w:rsid w:val="00134D20"/>
    <w:rsid w:val="00135494"/>
    <w:rsid w:val="00141ECE"/>
    <w:rsid w:val="001424B0"/>
    <w:rsid w:val="0015111C"/>
    <w:rsid w:val="00155597"/>
    <w:rsid w:val="0015728A"/>
    <w:rsid w:val="0016189F"/>
    <w:rsid w:val="00162D37"/>
    <w:rsid w:val="00166059"/>
    <w:rsid w:val="001663AA"/>
    <w:rsid w:val="00170ACB"/>
    <w:rsid w:val="001749E1"/>
    <w:rsid w:val="00175351"/>
    <w:rsid w:val="00175835"/>
    <w:rsid w:val="001777E4"/>
    <w:rsid w:val="001A14B5"/>
    <w:rsid w:val="001A5012"/>
    <w:rsid w:val="001B28A3"/>
    <w:rsid w:val="001B31A7"/>
    <w:rsid w:val="001B59D9"/>
    <w:rsid w:val="001C22FE"/>
    <w:rsid w:val="001C6F9E"/>
    <w:rsid w:val="001C73AD"/>
    <w:rsid w:val="001D41AD"/>
    <w:rsid w:val="001D5C3A"/>
    <w:rsid w:val="001D7780"/>
    <w:rsid w:val="001E6310"/>
    <w:rsid w:val="001E63A6"/>
    <w:rsid w:val="00200676"/>
    <w:rsid w:val="00201990"/>
    <w:rsid w:val="00201AE3"/>
    <w:rsid w:val="00203B6D"/>
    <w:rsid w:val="0020425E"/>
    <w:rsid w:val="00210D69"/>
    <w:rsid w:val="0022023C"/>
    <w:rsid w:val="0022633B"/>
    <w:rsid w:val="00230733"/>
    <w:rsid w:val="002359EF"/>
    <w:rsid w:val="00244A21"/>
    <w:rsid w:val="00255EF0"/>
    <w:rsid w:val="00260089"/>
    <w:rsid w:val="002645E6"/>
    <w:rsid w:val="002652B3"/>
    <w:rsid w:val="00265A16"/>
    <w:rsid w:val="0026663F"/>
    <w:rsid w:val="00271F18"/>
    <w:rsid w:val="0027733E"/>
    <w:rsid w:val="00277B82"/>
    <w:rsid w:val="00283726"/>
    <w:rsid w:val="00284E96"/>
    <w:rsid w:val="00286706"/>
    <w:rsid w:val="00287160"/>
    <w:rsid w:val="002909CB"/>
    <w:rsid w:val="00292926"/>
    <w:rsid w:val="0029334D"/>
    <w:rsid w:val="00295487"/>
    <w:rsid w:val="00297B72"/>
    <w:rsid w:val="002A3956"/>
    <w:rsid w:val="002A3D95"/>
    <w:rsid w:val="002B2EF1"/>
    <w:rsid w:val="002B3674"/>
    <w:rsid w:val="002C2D49"/>
    <w:rsid w:val="002D18D6"/>
    <w:rsid w:val="002D1C69"/>
    <w:rsid w:val="002D3937"/>
    <w:rsid w:val="002D70D1"/>
    <w:rsid w:val="002E0147"/>
    <w:rsid w:val="002E6AA1"/>
    <w:rsid w:val="002F1FEE"/>
    <w:rsid w:val="00306D1E"/>
    <w:rsid w:val="003100D8"/>
    <w:rsid w:val="00315B66"/>
    <w:rsid w:val="00321C9D"/>
    <w:rsid w:val="00321CFB"/>
    <w:rsid w:val="00324607"/>
    <w:rsid w:val="00325F95"/>
    <w:rsid w:val="00330778"/>
    <w:rsid w:val="003370E9"/>
    <w:rsid w:val="00340C01"/>
    <w:rsid w:val="00345DED"/>
    <w:rsid w:val="003606BF"/>
    <w:rsid w:val="00362EFC"/>
    <w:rsid w:val="00366560"/>
    <w:rsid w:val="00375C4A"/>
    <w:rsid w:val="003778FC"/>
    <w:rsid w:val="00382CC0"/>
    <w:rsid w:val="00384633"/>
    <w:rsid w:val="00384832"/>
    <w:rsid w:val="00384B90"/>
    <w:rsid w:val="00386ABC"/>
    <w:rsid w:val="00390596"/>
    <w:rsid w:val="003A229F"/>
    <w:rsid w:val="003A2A39"/>
    <w:rsid w:val="003A2EE4"/>
    <w:rsid w:val="003A3FC0"/>
    <w:rsid w:val="003A4626"/>
    <w:rsid w:val="003A5C84"/>
    <w:rsid w:val="003B1A3A"/>
    <w:rsid w:val="003B5664"/>
    <w:rsid w:val="003C5E9F"/>
    <w:rsid w:val="003D3DF3"/>
    <w:rsid w:val="003D3F50"/>
    <w:rsid w:val="003E5EB8"/>
    <w:rsid w:val="003E6A46"/>
    <w:rsid w:val="003F1BF5"/>
    <w:rsid w:val="003F3940"/>
    <w:rsid w:val="003F76B2"/>
    <w:rsid w:val="00406FBB"/>
    <w:rsid w:val="0040795F"/>
    <w:rsid w:val="0041295A"/>
    <w:rsid w:val="00413A9C"/>
    <w:rsid w:val="00413C6B"/>
    <w:rsid w:val="00432723"/>
    <w:rsid w:val="00435849"/>
    <w:rsid w:val="00442B36"/>
    <w:rsid w:val="0044572B"/>
    <w:rsid w:val="00463437"/>
    <w:rsid w:val="00466845"/>
    <w:rsid w:val="0046778F"/>
    <w:rsid w:val="00472EA8"/>
    <w:rsid w:val="00475638"/>
    <w:rsid w:val="00481021"/>
    <w:rsid w:val="00486D4A"/>
    <w:rsid w:val="00490471"/>
    <w:rsid w:val="00494AA6"/>
    <w:rsid w:val="00496FE7"/>
    <w:rsid w:val="004A280D"/>
    <w:rsid w:val="004A29AE"/>
    <w:rsid w:val="004A7393"/>
    <w:rsid w:val="004B0E2B"/>
    <w:rsid w:val="004B1F36"/>
    <w:rsid w:val="004B2454"/>
    <w:rsid w:val="004B4C2F"/>
    <w:rsid w:val="004B65AC"/>
    <w:rsid w:val="004C1337"/>
    <w:rsid w:val="004C52FD"/>
    <w:rsid w:val="004C6A90"/>
    <w:rsid w:val="004D119E"/>
    <w:rsid w:val="004D27B0"/>
    <w:rsid w:val="004E0221"/>
    <w:rsid w:val="004E6A4A"/>
    <w:rsid w:val="004F2BD4"/>
    <w:rsid w:val="004F45E1"/>
    <w:rsid w:val="005034AF"/>
    <w:rsid w:val="00513BC0"/>
    <w:rsid w:val="00522E5F"/>
    <w:rsid w:val="00530554"/>
    <w:rsid w:val="00531743"/>
    <w:rsid w:val="00545642"/>
    <w:rsid w:val="00550CB7"/>
    <w:rsid w:val="00564046"/>
    <w:rsid w:val="005763CC"/>
    <w:rsid w:val="00583A40"/>
    <w:rsid w:val="00591B6B"/>
    <w:rsid w:val="00594D36"/>
    <w:rsid w:val="005A09C3"/>
    <w:rsid w:val="005C09B5"/>
    <w:rsid w:val="005C5D77"/>
    <w:rsid w:val="005D1CE2"/>
    <w:rsid w:val="005D34BD"/>
    <w:rsid w:val="005E5AE8"/>
    <w:rsid w:val="00600BC8"/>
    <w:rsid w:val="00612671"/>
    <w:rsid w:val="00620E3D"/>
    <w:rsid w:val="00621254"/>
    <w:rsid w:val="006216C1"/>
    <w:rsid w:val="00627771"/>
    <w:rsid w:val="00630E18"/>
    <w:rsid w:val="00634F8F"/>
    <w:rsid w:val="006376E3"/>
    <w:rsid w:val="006377B9"/>
    <w:rsid w:val="00646828"/>
    <w:rsid w:val="00650E8B"/>
    <w:rsid w:val="00660168"/>
    <w:rsid w:val="0066299D"/>
    <w:rsid w:val="00663A75"/>
    <w:rsid w:val="006670F6"/>
    <w:rsid w:val="00672913"/>
    <w:rsid w:val="006810B9"/>
    <w:rsid w:val="00682E62"/>
    <w:rsid w:val="00687CD7"/>
    <w:rsid w:val="0069208D"/>
    <w:rsid w:val="006921D5"/>
    <w:rsid w:val="00696AF9"/>
    <w:rsid w:val="006A00B8"/>
    <w:rsid w:val="006A27BA"/>
    <w:rsid w:val="006A33A0"/>
    <w:rsid w:val="006A63F9"/>
    <w:rsid w:val="006B01F9"/>
    <w:rsid w:val="006B1C86"/>
    <w:rsid w:val="006B6886"/>
    <w:rsid w:val="006C0EFD"/>
    <w:rsid w:val="006C2681"/>
    <w:rsid w:val="006C61A8"/>
    <w:rsid w:val="006D16DE"/>
    <w:rsid w:val="006D3F0B"/>
    <w:rsid w:val="006D74BC"/>
    <w:rsid w:val="006F2AC6"/>
    <w:rsid w:val="006F32C2"/>
    <w:rsid w:val="006F51F6"/>
    <w:rsid w:val="00715204"/>
    <w:rsid w:val="00720C5D"/>
    <w:rsid w:val="00723A21"/>
    <w:rsid w:val="007256A2"/>
    <w:rsid w:val="00726CA4"/>
    <w:rsid w:val="00746B46"/>
    <w:rsid w:val="0075313A"/>
    <w:rsid w:val="007539DA"/>
    <w:rsid w:val="00754FFA"/>
    <w:rsid w:val="00761934"/>
    <w:rsid w:val="00761D42"/>
    <w:rsid w:val="00761E8C"/>
    <w:rsid w:val="00765A8F"/>
    <w:rsid w:val="0077593D"/>
    <w:rsid w:val="007768B2"/>
    <w:rsid w:val="00780E25"/>
    <w:rsid w:val="007810BE"/>
    <w:rsid w:val="0078471B"/>
    <w:rsid w:val="00790F37"/>
    <w:rsid w:val="007933E2"/>
    <w:rsid w:val="007953CB"/>
    <w:rsid w:val="007A2E17"/>
    <w:rsid w:val="007A3427"/>
    <w:rsid w:val="007A3CBC"/>
    <w:rsid w:val="007A492F"/>
    <w:rsid w:val="007A7850"/>
    <w:rsid w:val="007B022F"/>
    <w:rsid w:val="007C06A8"/>
    <w:rsid w:val="007C5A0E"/>
    <w:rsid w:val="007D4C9C"/>
    <w:rsid w:val="007D6AC3"/>
    <w:rsid w:val="007D7A0B"/>
    <w:rsid w:val="007E2358"/>
    <w:rsid w:val="007E5F63"/>
    <w:rsid w:val="007F17E3"/>
    <w:rsid w:val="008015DF"/>
    <w:rsid w:val="00811B1D"/>
    <w:rsid w:val="008155A9"/>
    <w:rsid w:val="00816CAC"/>
    <w:rsid w:val="0083242F"/>
    <w:rsid w:val="00833CFF"/>
    <w:rsid w:val="008342C1"/>
    <w:rsid w:val="00835869"/>
    <w:rsid w:val="0083586E"/>
    <w:rsid w:val="0083653F"/>
    <w:rsid w:val="00845B18"/>
    <w:rsid w:val="00853B1E"/>
    <w:rsid w:val="00854AA2"/>
    <w:rsid w:val="00857558"/>
    <w:rsid w:val="00862FFC"/>
    <w:rsid w:val="00865C21"/>
    <w:rsid w:val="00880F08"/>
    <w:rsid w:val="00893A9D"/>
    <w:rsid w:val="008A1D2A"/>
    <w:rsid w:val="008A3163"/>
    <w:rsid w:val="008A4931"/>
    <w:rsid w:val="008B1326"/>
    <w:rsid w:val="008B51A8"/>
    <w:rsid w:val="008B67AD"/>
    <w:rsid w:val="008C2657"/>
    <w:rsid w:val="008C69EE"/>
    <w:rsid w:val="008D1D63"/>
    <w:rsid w:val="008D5C7B"/>
    <w:rsid w:val="008E02B3"/>
    <w:rsid w:val="008E03CA"/>
    <w:rsid w:val="008E1026"/>
    <w:rsid w:val="008E222E"/>
    <w:rsid w:val="008F0347"/>
    <w:rsid w:val="008F6C53"/>
    <w:rsid w:val="00900C74"/>
    <w:rsid w:val="00907741"/>
    <w:rsid w:val="0092161D"/>
    <w:rsid w:val="0092386C"/>
    <w:rsid w:val="00933663"/>
    <w:rsid w:val="0095073C"/>
    <w:rsid w:val="00961182"/>
    <w:rsid w:val="00961B69"/>
    <w:rsid w:val="0097355B"/>
    <w:rsid w:val="00994C46"/>
    <w:rsid w:val="00997AB0"/>
    <w:rsid w:val="009A55B0"/>
    <w:rsid w:val="009A575A"/>
    <w:rsid w:val="009A7B40"/>
    <w:rsid w:val="009B348B"/>
    <w:rsid w:val="009B5B95"/>
    <w:rsid w:val="009B6AE1"/>
    <w:rsid w:val="009C05D8"/>
    <w:rsid w:val="009C13C3"/>
    <w:rsid w:val="009C24DE"/>
    <w:rsid w:val="009C5B30"/>
    <w:rsid w:val="009C5C97"/>
    <w:rsid w:val="009D0530"/>
    <w:rsid w:val="009D18ED"/>
    <w:rsid w:val="009D2A97"/>
    <w:rsid w:val="009D479D"/>
    <w:rsid w:val="009D4836"/>
    <w:rsid w:val="009D56A7"/>
    <w:rsid w:val="009E6C73"/>
    <w:rsid w:val="00A0037C"/>
    <w:rsid w:val="00A07D0B"/>
    <w:rsid w:val="00A101C7"/>
    <w:rsid w:val="00A250B4"/>
    <w:rsid w:val="00A269A4"/>
    <w:rsid w:val="00A27039"/>
    <w:rsid w:val="00A42449"/>
    <w:rsid w:val="00A47864"/>
    <w:rsid w:val="00A53989"/>
    <w:rsid w:val="00A54332"/>
    <w:rsid w:val="00A64B6F"/>
    <w:rsid w:val="00A7197F"/>
    <w:rsid w:val="00A81A48"/>
    <w:rsid w:val="00A82D23"/>
    <w:rsid w:val="00A82DE1"/>
    <w:rsid w:val="00A92369"/>
    <w:rsid w:val="00A92666"/>
    <w:rsid w:val="00A95627"/>
    <w:rsid w:val="00A963CE"/>
    <w:rsid w:val="00AA34FD"/>
    <w:rsid w:val="00AB7BE1"/>
    <w:rsid w:val="00AC5036"/>
    <w:rsid w:val="00AD49C0"/>
    <w:rsid w:val="00AD6D6F"/>
    <w:rsid w:val="00AE0C28"/>
    <w:rsid w:val="00AE1C0A"/>
    <w:rsid w:val="00AE58AF"/>
    <w:rsid w:val="00AE646A"/>
    <w:rsid w:val="00AF1C69"/>
    <w:rsid w:val="00AF5520"/>
    <w:rsid w:val="00B01835"/>
    <w:rsid w:val="00B01EDA"/>
    <w:rsid w:val="00B1104F"/>
    <w:rsid w:val="00B12105"/>
    <w:rsid w:val="00B12F3C"/>
    <w:rsid w:val="00B136C1"/>
    <w:rsid w:val="00B30C12"/>
    <w:rsid w:val="00B31EFE"/>
    <w:rsid w:val="00B3278A"/>
    <w:rsid w:val="00B331C6"/>
    <w:rsid w:val="00B43540"/>
    <w:rsid w:val="00B440D8"/>
    <w:rsid w:val="00B51233"/>
    <w:rsid w:val="00B51272"/>
    <w:rsid w:val="00B54DDD"/>
    <w:rsid w:val="00B6298F"/>
    <w:rsid w:val="00B6472C"/>
    <w:rsid w:val="00B71906"/>
    <w:rsid w:val="00B724A0"/>
    <w:rsid w:val="00B7385F"/>
    <w:rsid w:val="00B744F5"/>
    <w:rsid w:val="00B77FB3"/>
    <w:rsid w:val="00B83C32"/>
    <w:rsid w:val="00B84390"/>
    <w:rsid w:val="00B843A3"/>
    <w:rsid w:val="00B90174"/>
    <w:rsid w:val="00B944E5"/>
    <w:rsid w:val="00BA0824"/>
    <w:rsid w:val="00BA33FF"/>
    <w:rsid w:val="00BB0EEA"/>
    <w:rsid w:val="00BC1F2B"/>
    <w:rsid w:val="00BC67AA"/>
    <w:rsid w:val="00BD3E08"/>
    <w:rsid w:val="00BD5F6D"/>
    <w:rsid w:val="00BE2F64"/>
    <w:rsid w:val="00BE4785"/>
    <w:rsid w:val="00BE690D"/>
    <w:rsid w:val="00BF4A9D"/>
    <w:rsid w:val="00C02A11"/>
    <w:rsid w:val="00C05789"/>
    <w:rsid w:val="00C1226F"/>
    <w:rsid w:val="00C12A73"/>
    <w:rsid w:val="00C145B1"/>
    <w:rsid w:val="00C22E0B"/>
    <w:rsid w:val="00C272FE"/>
    <w:rsid w:val="00C33CCB"/>
    <w:rsid w:val="00C40214"/>
    <w:rsid w:val="00C41DD2"/>
    <w:rsid w:val="00C440BB"/>
    <w:rsid w:val="00C54898"/>
    <w:rsid w:val="00C561E8"/>
    <w:rsid w:val="00C62359"/>
    <w:rsid w:val="00C62B9E"/>
    <w:rsid w:val="00C63FDF"/>
    <w:rsid w:val="00C64616"/>
    <w:rsid w:val="00C673C9"/>
    <w:rsid w:val="00C80733"/>
    <w:rsid w:val="00C82F4C"/>
    <w:rsid w:val="00C82FFF"/>
    <w:rsid w:val="00C86573"/>
    <w:rsid w:val="00C90423"/>
    <w:rsid w:val="00C93B91"/>
    <w:rsid w:val="00CA0B60"/>
    <w:rsid w:val="00CA52E4"/>
    <w:rsid w:val="00CA788A"/>
    <w:rsid w:val="00CB2266"/>
    <w:rsid w:val="00CB39A1"/>
    <w:rsid w:val="00CB4041"/>
    <w:rsid w:val="00CB6D46"/>
    <w:rsid w:val="00CB7E23"/>
    <w:rsid w:val="00CC7ABC"/>
    <w:rsid w:val="00CD60FE"/>
    <w:rsid w:val="00CE3CDF"/>
    <w:rsid w:val="00CE63B8"/>
    <w:rsid w:val="00CF3FC1"/>
    <w:rsid w:val="00D026A3"/>
    <w:rsid w:val="00D075A3"/>
    <w:rsid w:val="00D11C29"/>
    <w:rsid w:val="00D24F17"/>
    <w:rsid w:val="00D31FC2"/>
    <w:rsid w:val="00D321CC"/>
    <w:rsid w:val="00D326C4"/>
    <w:rsid w:val="00D333E9"/>
    <w:rsid w:val="00D33900"/>
    <w:rsid w:val="00D46BE8"/>
    <w:rsid w:val="00D55E72"/>
    <w:rsid w:val="00D602A2"/>
    <w:rsid w:val="00D61DCE"/>
    <w:rsid w:val="00D813A5"/>
    <w:rsid w:val="00D8226C"/>
    <w:rsid w:val="00D831A0"/>
    <w:rsid w:val="00D85DF7"/>
    <w:rsid w:val="00D971BD"/>
    <w:rsid w:val="00DA35A8"/>
    <w:rsid w:val="00DA4220"/>
    <w:rsid w:val="00DA45AD"/>
    <w:rsid w:val="00DA6317"/>
    <w:rsid w:val="00DD5C8B"/>
    <w:rsid w:val="00DE0E49"/>
    <w:rsid w:val="00DE239F"/>
    <w:rsid w:val="00DF52A5"/>
    <w:rsid w:val="00E0152A"/>
    <w:rsid w:val="00E03F85"/>
    <w:rsid w:val="00E04BEC"/>
    <w:rsid w:val="00E05525"/>
    <w:rsid w:val="00E06760"/>
    <w:rsid w:val="00E06D2D"/>
    <w:rsid w:val="00E2007B"/>
    <w:rsid w:val="00E250CE"/>
    <w:rsid w:val="00E26121"/>
    <w:rsid w:val="00E44CC8"/>
    <w:rsid w:val="00E50BEB"/>
    <w:rsid w:val="00E538C3"/>
    <w:rsid w:val="00E54144"/>
    <w:rsid w:val="00E5646A"/>
    <w:rsid w:val="00E57642"/>
    <w:rsid w:val="00E602C4"/>
    <w:rsid w:val="00E669AE"/>
    <w:rsid w:val="00E66E2A"/>
    <w:rsid w:val="00E70F36"/>
    <w:rsid w:val="00E73553"/>
    <w:rsid w:val="00E73E0F"/>
    <w:rsid w:val="00EB0C69"/>
    <w:rsid w:val="00EC10D8"/>
    <w:rsid w:val="00EC1FE9"/>
    <w:rsid w:val="00EC3964"/>
    <w:rsid w:val="00ED2CBF"/>
    <w:rsid w:val="00ED44CC"/>
    <w:rsid w:val="00ED5177"/>
    <w:rsid w:val="00ED5914"/>
    <w:rsid w:val="00ED5F5D"/>
    <w:rsid w:val="00EF4B9D"/>
    <w:rsid w:val="00EF5C3A"/>
    <w:rsid w:val="00F02925"/>
    <w:rsid w:val="00F05092"/>
    <w:rsid w:val="00F13E09"/>
    <w:rsid w:val="00F27052"/>
    <w:rsid w:val="00F3034B"/>
    <w:rsid w:val="00F311C6"/>
    <w:rsid w:val="00F32955"/>
    <w:rsid w:val="00F44E81"/>
    <w:rsid w:val="00F45D6A"/>
    <w:rsid w:val="00F630C9"/>
    <w:rsid w:val="00F64623"/>
    <w:rsid w:val="00F677EB"/>
    <w:rsid w:val="00F67F42"/>
    <w:rsid w:val="00F71375"/>
    <w:rsid w:val="00F75F67"/>
    <w:rsid w:val="00F84AE3"/>
    <w:rsid w:val="00F8507C"/>
    <w:rsid w:val="00F86437"/>
    <w:rsid w:val="00F91771"/>
    <w:rsid w:val="00F92654"/>
    <w:rsid w:val="00F93D34"/>
    <w:rsid w:val="00FA1313"/>
    <w:rsid w:val="00FA6D8F"/>
    <w:rsid w:val="00FC7E1E"/>
    <w:rsid w:val="00FD24D7"/>
    <w:rsid w:val="00FE538E"/>
    <w:rsid w:val="00FE6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C4ED9"/>
  <w14:defaultImageDpi w14:val="32767"/>
  <w15:chartTrackingRefBased/>
  <w15:docId w15:val="{86D268B6-917B-2447-BBB6-0224B9C1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B348B"/>
    <w:pPr>
      <w:widowControl w:val="0"/>
      <w:autoSpaceDE w:val="0"/>
      <w:autoSpaceDN w:val="0"/>
    </w:pPr>
    <w:rPr>
      <w:rFonts w:ascii="Verdana" w:eastAsia="Verdana" w:hAnsi="Verdana" w:cs="Verdana"/>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er">
    <w:name w:val="Cover page header"/>
    <w:basedOn w:val="Normal"/>
    <w:next w:val="Normal"/>
    <w:qFormat/>
    <w:rsid w:val="00203B6D"/>
    <w:pPr>
      <w:numPr>
        <w:numId w:val="1"/>
      </w:numPr>
    </w:pPr>
    <w:rPr>
      <w:rFonts w:ascii="Open Sans ExtraBold" w:eastAsiaTheme="minorEastAsia" w:hAnsi="Open Sans ExtraBold" w:cs="Times New Roman (Body CS)"/>
      <w:b/>
      <w:i/>
      <w:color w:val="FFFFFF" w:themeColor="background1"/>
      <w:sz w:val="90"/>
    </w:rPr>
  </w:style>
  <w:style w:type="paragraph" w:styleId="Header">
    <w:name w:val="header"/>
    <w:basedOn w:val="Normal"/>
    <w:link w:val="HeaderChar"/>
    <w:uiPriority w:val="99"/>
    <w:unhideWhenUsed/>
    <w:rsid w:val="009B348B"/>
    <w:pPr>
      <w:tabs>
        <w:tab w:val="center" w:pos="4513"/>
        <w:tab w:val="right" w:pos="9026"/>
      </w:tabs>
    </w:pPr>
  </w:style>
  <w:style w:type="character" w:customStyle="1" w:styleId="HeaderChar">
    <w:name w:val="Header Char"/>
    <w:basedOn w:val="DefaultParagraphFont"/>
    <w:link w:val="Header"/>
    <w:uiPriority w:val="99"/>
    <w:rsid w:val="009B348B"/>
    <w:rPr>
      <w:rFonts w:ascii="Verdana" w:eastAsia="Verdana" w:hAnsi="Verdana" w:cs="Verdana"/>
      <w:kern w:val="0"/>
      <w:sz w:val="22"/>
      <w:szCs w:val="22"/>
      <w:lang w:val="en-US"/>
      <w14:ligatures w14:val="none"/>
    </w:rPr>
  </w:style>
  <w:style w:type="paragraph" w:styleId="Footer">
    <w:name w:val="footer"/>
    <w:basedOn w:val="Normal"/>
    <w:link w:val="FooterChar"/>
    <w:uiPriority w:val="99"/>
    <w:unhideWhenUsed/>
    <w:rsid w:val="009B348B"/>
    <w:pPr>
      <w:tabs>
        <w:tab w:val="center" w:pos="4513"/>
        <w:tab w:val="right" w:pos="9026"/>
      </w:tabs>
    </w:pPr>
  </w:style>
  <w:style w:type="character" w:customStyle="1" w:styleId="FooterChar">
    <w:name w:val="Footer Char"/>
    <w:basedOn w:val="DefaultParagraphFont"/>
    <w:link w:val="Footer"/>
    <w:uiPriority w:val="99"/>
    <w:rsid w:val="009B348B"/>
    <w:rPr>
      <w:rFonts w:ascii="Verdana" w:eastAsia="Verdana" w:hAnsi="Verdana" w:cs="Verdana"/>
      <w:kern w:val="0"/>
      <w:sz w:val="22"/>
      <w:szCs w:val="22"/>
      <w:lang w:val="en-US"/>
      <w14:ligatures w14:val="none"/>
    </w:rPr>
  </w:style>
  <w:style w:type="character" w:styleId="Hyperlink">
    <w:name w:val="Hyperlink"/>
    <w:basedOn w:val="DefaultParagraphFont"/>
    <w:uiPriority w:val="99"/>
    <w:unhideWhenUsed/>
    <w:rsid w:val="009B348B"/>
    <w:rPr>
      <w:color w:val="009D9D" w:themeColor="hyperlink"/>
      <w:u w:val="single"/>
    </w:rPr>
  </w:style>
  <w:style w:type="character" w:styleId="UnresolvedMention">
    <w:name w:val="Unresolved Mention"/>
    <w:basedOn w:val="DefaultParagraphFont"/>
    <w:uiPriority w:val="99"/>
    <w:rsid w:val="009B348B"/>
    <w:rPr>
      <w:color w:val="605E5C"/>
      <w:shd w:val="clear" w:color="auto" w:fill="E1DFDD"/>
    </w:rPr>
  </w:style>
  <w:style w:type="character" w:styleId="FollowedHyperlink">
    <w:name w:val="FollowedHyperlink"/>
    <w:basedOn w:val="DefaultParagraphFont"/>
    <w:uiPriority w:val="99"/>
    <w:semiHidden/>
    <w:unhideWhenUsed/>
    <w:rsid w:val="009B348B"/>
    <w:rPr>
      <w:color w:val="391430" w:themeColor="followedHyperlink"/>
      <w:u w:val="single"/>
    </w:rPr>
  </w:style>
  <w:style w:type="character" w:styleId="PageNumber">
    <w:name w:val="page number"/>
    <w:basedOn w:val="DefaultParagraphFont"/>
    <w:uiPriority w:val="99"/>
    <w:semiHidden/>
    <w:unhideWhenUsed/>
    <w:rsid w:val="009C5B30"/>
  </w:style>
  <w:style w:type="paragraph" w:styleId="Revision">
    <w:name w:val="Revision"/>
    <w:hidden/>
    <w:uiPriority w:val="99"/>
    <w:semiHidden/>
    <w:rsid w:val="00382CC0"/>
    <w:rPr>
      <w:rFonts w:ascii="Verdana" w:eastAsia="Verdana" w:hAnsi="Verdana" w:cs="Verdana"/>
      <w:kern w:val="0"/>
      <w:sz w:val="22"/>
      <w:szCs w:val="22"/>
      <w:lang w:val="en-US"/>
      <w14:ligatures w14:val="none"/>
    </w:rPr>
  </w:style>
  <w:style w:type="character" w:styleId="CommentReference">
    <w:name w:val="annotation reference"/>
    <w:basedOn w:val="DefaultParagraphFont"/>
    <w:uiPriority w:val="99"/>
    <w:semiHidden/>
    <w:unhideWhenUsed/>
    <w:rsid w:val="00057D74"/>
    <w:rPr>
      <w:sz w:val="16"/>
      <w:szCs w:val="16"/>
    </w:rPr>
  </w:style>
  <w:style w:type="paragraph" w:styleId="CommentText">
    <w:name w:val="annotation text"/>
    <w:basedOn w:val="Normal"/>
    <w:link w:val="CommentTextChar"/>
    <w:uiPriority w:val="99"/>
    <w:unhideWhenUsed/>
    <w:rsid w:val="00057D74"/>
    <w:rPr>
      <w:sz w:val="20"/>
      <w:szCs w:val="20"/>
    </w:rPr>
  </w:style>
  <w:style w:type="character" w:customStyle="1" w:styleId="CommentTextChar">
    <w:name w:val="Comment Text Char"/>
    <w:basedOn w:val="DefaultParagraphFont"/>
    <w:link w:val="CommentText"/>
    <w:uiPriority w:val="99"/>
    <w:rsid w:val="00057D74"/>
    <w:rPr>
      <w:rFonts w:ascii="Verdana" w:eastAsia="Verdana" w:hAnsi="Verdana" w:cs="Verdan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57D74"/>
    <w:rPr>
      <w:b/>
      <w:bCs/>
    </w:rPr>
  </w:style>
  <w:style w:type="character" w:customStyle="1" w:styleId="CommentSubjectChar">
    <w:name w:val="Comment Subject Char"/>
    <w:basedOn w:val="CommentTextChar"/>
    <w:link w:val="CommentSubject"/>
    <w:uiPriority w:val="99"/>
    <w:semiHidden/>
    <w:rsid w:val="00057D74"/>
    <w:rPr>
      <w:rFonts w:ascii="Verdana" w:eastAsia="Verdana" w:hAnsi="Verdana" w:cs="Verdana"/>
      <w:b/>
      <w:bCs/>
      <w:kern w:val="0"/>
      <w:sz w:val="20"/>
      <w:szCs w:val="20"/>
      <w:lang w:val="en-US"/>
      <w14:ligatures w14:val="none"/>
    </w:rPr>
  </w:style>
  <w:style w:type="paragraph" w:styleId="ListParagraph">
    <w:name w:val="List Paragraph"/>
    <w:basedOn w:val="Normal"/>
    <w:uiPriority w:val="34"/>
    <w:qFormat/>
    <w:rsid w:val="001663AA"/>
    <w:pPr>
      <w:ind w:left="720"/>
      <w:contextualSpacing/>
    </w:pPr>
  </w:style>
  <w:style w:type="paragraph" w:styleId="FootnoteText">
    <w:name w:val="footnote text"/>
    <w:basedOn w:val="Normal"/>
    <w:link w:val="FootnoteTextChar"/>
    <w:uiPriority w:val="99"/>
    <w:semiHidden/>
    <w:unhideWhenUsed/>
    <w:rsid w:val="001663AA"/>
    <w:rPr>
      <w:sz w:val="20"/>
      <w:szCs w:val="20"/>
    </w:rPr>
  </w:style>
  <w:style w:type="character" w:customStyle="1" w:styleId="FootnoteTextChar">
    <w:name w:val="Footnote Text Char"/>
    <w:basedOn w:val="DefaultParagraphFont"/>
    <w:link w:val="FootnoteText"/>
    <w:uiPriority w:val="99"/>
    <w:semiHidden/>
    <w:rsid w:val="001663AA"/>
    <w:rPr>
      <w:rFonts w:ascii="Verdana" w:eastAsia="Verdana" w:hAnsi="Verdana" w:cs="Verdana"/>
      <w:kern w:val="0"/>
      <w:sz w:val="20"/>
      <w:szCs w:val="20"/>
      <w:lang w:val="en-US"/>
      <w14:ligatures w14:val="none"/>
    </w:rPr>
  </w:style>
  <w:style w:type="character" w:styleId="FootnoteReference">
    <w:name w:val="footnote reference"/>
    <w:basedOn w:val="DefaultParagraphFont"/>
    <w:uiPriority w:val="99"/>
    <w:semiHidden/>
    <w:unhideWhenUsed/>
    <w:rsid w:val="001663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RANZ">
      <a:dk1>
        <a:srgbClr val="000000"/>
      </a:dk1>
      <a:lt1>
        <a:srgbClr val="FFFFFF"/>
      </a:lt1>
      <a:dk2>
        <a:srgbClr val="1F537B"/>
      </a:dk2>
      <a:lt2>
        <a:srgbClr val="E7E6E6"/>
      </a:lt2>
      <a:accent1>
        <a:srgbClr val="3297C7"/>
      </a:accent1>
      <a:accent2>
        <a:srgbClr val="009D9D"/>
      </a:accent2>
      <a:accent3>
        <a:srgbClr val="391430"/>
      </a:accent3>
      <a:accent4>
        <a:srgbClr val="FACF55"/>
      </a:accent4>
      <a:accent5>
        <a:srgbClr val="3297C7"/>
      </a:accent5>
      <a:accent6>
        <a:srgbClr val="1F4F75"/>
      </a:accent6>
      <a:hlink>
        <a:srgbClr val="009D9D"/>
      </a:hlink>
      <a:folHlink>
        <a:srgbClr val="39143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9DEE42-6569-244B-9993-D94F2171A409}">
  <we:reference id="wa200001011" version="1.2.0.0" store="en-001"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badce8-8bec-4afe-8b71-507df7a0fa79">
      <Terms xmlns="http://schemas.microsoft.com/office/infopath/2007/PartnerControls"/>
    </lcf76f155ced4ddcb4097134ff3c332f>
    <TaxCatchAll xmlns="bbcee201-93c5-406f-bac4-b2d34700dd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4CAD1102EA2C47815B98C8EF9C054C" ma:contentTypeVersion="19" ma:contentTypeDescription="Create a new document." ma:contentTypeScope="" ma:versionID="1d8df8c93682f4d1d5ce58a8a0e0fc47">
  <xsd:schema xmlns:xsd="http://www.w3.org/2001/XMLSchema" xmlns:xs="http://www.w3.org/2001/XMLSchema" xmlns:p="http://schemas.microsoft.com/office/2006/metadata/properties" xmlns:ns2="f0badce8-8bec-4afe-8b71-507df7a0fa79" xmlns:ns3="bbcee201-93c5-406f-bac4-b2d34700ddef" targetNamespace="http://schemas.microsoft.com/office/2006/metadata/properties" ma:root="true" ma:fieldsID="46fea9002af148d35ea482eb25a5ff5d" ns2:_="" ns3:_="">
    <xsd:import namespace="f0badce8-8bec-4afe-8b71-507df7a0fa79"/>
    <xsd:import namespace="bbcee201-93c5-406f-bac4-b2d34700dd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adce8-8bec-4afe-8b71-507df7a0f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1dd6e8-089b-4c22-890f-7309670adb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cee201-93c5-406f-bac4-b2d34700dd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d1745c1-4556-479b-8516-e274b6155961}" ma:internalName="TaxCatchAll" ma:showField="CatchAllData" ma:web="bbcee201-93c5-406f-bac4-b2d34700dd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08A649-D590-428E-8AEC-7BF11F2A523F}">
  <ds:schemaRefs>
    <ds:schemaRef ds:uri="http://schemas.microsoft.com/office/2006/metadata/properties"/>
    <ds:schemaRef ds:uri="http://schemas.microsoft.com/office/infopath/2007/PartnerControls"/>
    <ds:schemaRef ds:uri="f0badce8-8bec-4afe-8b71-507df7a0fa79"/>
    <ds:schemaRef ds:uri="bbcee201-93c5-406f-bac4-b2d34700ddef"/>
  </ds:schemaRefs>
</ds:datastoreItem>
</file>

<file path=customXml/itemProps2.xml><?xml version="1.0" encoding="utf-8"?>
<ds:datastoreItem xmlns:ds="http://schemas.openxmlformats.org/officeDocument/2006/customXml" ds:itemID="{DD8BA995-81F3-4D95-8C4C-802BC88AA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adce8-8bec-4afe-8b71-507df7a0fa79"/>
    <ds:schemaRef ds:uri="bbcee201-93c5-406f-bac4-b2d34700d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AE0D7-F411-4734-B30A-E659051AC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Kenny Clark</cp:lastModifiedBy>
  <cp:revision>68</cp:revision>
  <cp:lastPrinted>2023-10-25T22:32:00Z</cp:lastPrinted>
  <dcterms:created xsi:type="dcterms:W3CDTF">2023-12-15T04:42:00Z</dcterms:created>
  <dcterms:modified xsi:type="dcterms:W3CDTF">2024-01-25T21:29:00Z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0x010100384CAD1102EA2C47815B98C8EF9C054C</vt:lpwstr>
  </property>
  <property fmtid="{D5CDD505-2E9C-101B-9397-08002B2CF9AE}" pid="3" name="MediaServiceImageTags">
    <vt:lpwstr/>
  </property>
  <property fmtid="{D5CDD505-2E9C-101B-9397-08002B2CF9AE}" pid="4" name="grammarly_documentId">
    <vt:lpwstr>documentId_4967</vt:lpwstr>
  </property>
  <property fmtid="{D5CDD505-2E9C-101B-9397-08002B2CF9AE}" pid="5" name="grammarly_documentContext">
    <vt:lpwstr>{"goals":[],"domain":"general","emotions":[],"dialect":"australian"}</vt:lpwstr>
  </property>
</Properties>
</file>